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Guide: Cloud Infrastructure &amp; Deployment</w:t>
      </w:r>
    </w:p>
    <w:p>
      <w:pPr>
        <w:pStyle w:val="Heading1"/>
      </w:pPr>
      <w:r>
        <w:t>1. CI/CD Deployment Process</w:t>
      </w:r>
    </w:p>
    <w:p>
      <w:r>
        <w:t>All production deployments occur through automated GitHub Actions pipelines. Changes must receive approval from at least two senior engineers and achieve 100% test pass rate in staging before promotion to production.</w:t>
      </w:r>
    </w:p>
    <w:p>
      <w:pPr>
        <w:pStyle w:val="Heading1"/>
      </w:pPr>
      <w:r>
        <w:t>2. Service Level Objectives (SLOs)</w:t>
      </w:r>
    </w:p>
    <w:p>
      <w:r>
        <w:t>Core customer-facing APIs must maintain 99.95% monthly uptime. Maximum acceptable latency for p99 response times is 250 milliseconds. Error rates must not exceed 0.05% of total requests.</w:t>
      </w:r>
    </w:p>
    <w:p>
      <w:pPr>
        <w:pStyle w:val="Heading1"/>
      </w:pPr>
      <w:r>
        <w:t>3. Incident Response Escalation</w:t>
      </w:r>
    </w:p>
    <w:p>
      <w:r>
        <w:t>Incidents are classified from Severity 1 (Critical Outage) to Severity 4 (Minor Cosmetic). For Severity 1 incidents, the On-Call Incident Commander must establish an incident bridge within 10 minutes and post hourly stakeholder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