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Corp — Employee Handbook 2026</w:t>
      </w:r>
    </w:p>
    <w:p>
      <w:pPr>
        <w:pStyle w:val="Heading1"/>
      </w:pPr>
      <w:r>
        <w:t>1. Working Hours &amp; Remote Work</w:t>
      </w:r>
    </w:p>
    <w:p>
      <w:r>
        <w:t>Standard working hours are 9:00 AM to 5:30 PM Monday through Friday. All full-time employees are eligible for hybrid work, allowing up to 3 days of remote work per week with manager approval.</w:t>
      </w:r>
    </w:p>
    <w:p>
      <w:pPr>
        <w:pStyle w:val="Heading1"/>
      </w:pPr>
      <w:r>
        <w:t>2. Leave Policy</w:t>
      </w:r>
    </w:p>
    <w:p>
      <w:r>
        <w:t>Full-time employees receive 25 days of paid annual leave per calendar year. In addition, employees are entitled to 10 days of paid sick leave. Unused annual leave up to 5 days can be carried over into the first quarter of the following year.</w:t>
      </w:r>
    </w:p>
    <w:p>
      <w:pPr>
        <w:pStyle w:val="Heading1"/>
      </w:pPr>
      <w:r>
        <w:t>3. Equipment &amp; Expense Policy</w:t>
      </w:r>
    </w:p>
    <w:p>
      <w:r>
        <w:t>Each employee is provided a company laptop and a one-time home office stipend of . Monthly internet expenses are reimbursed up to  upon receipt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