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№7.Арифметические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Королёв</w:t>
      </w:r>
      <w:r>
        <w:t xml:space="preserve"> </w:t>
      </w:r>
      <w:r>
        <w:t xml:space="preserve">Иван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Адресация в NASM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обра- ботке.Этомогутбытьданныехранящиесяврегистреиливячейкепамяти.Далее рассмотрены все существующие способы задания адреса хранения операндов – способы адресации. Существуеттри основных способа адресации:</w:t>
      </w:r>
    </w:p>
    <w:p>
      <w:pPr>
        <w:numPr>
          <w:ilvl w:val="0"/>
          <w:numId w:val="1002"/>
        </w:numPr>
        <w:pStyle w:val="Compact"/>
      </w:pPr>
      <w:r>
        <w:t xml:space="preserve">Регистровая адресация – операнды хранятся в регистрах и в команде используются имена этих регистров, например: mov ax,bx.</w:t>
      </w:r>
    </w:p>
    <w:p>
      <w:pPr>
        <w:numPr>
          <w:ilvl w:val="0"/>
          <w:numId w:val="1002"/>
        </w:numPr>
        <w:pStyle w:val="Compact"/>
      </w:pPr>
      <w:r>
        <w:t xml:space="preserve">Непосредственная адресация – значение операнда задается непосред- ственно в команде, Например: mov ax,2.</w:t>
      </w:r>
    </w:p>
    <w:p>
      <w:pPr>
        <w:numPr>
          <w:ilvl w:val="0"/>
          <w:numId w:val="1002"/>
        </w:numPr>
        <w:pStyle w:val="Compact"/>
      </w:pPr>
      <w:r>
        <w:t xml:space="preserve">Адресация памяти–операндзадаетадресвпамяти.Вкомандеуказывает- ся символическое обозначение ячейки памяти, над содержимым которой требуется выполнить операцию</w:t>
      </w:r>
    </w:p>
    <w:p>
      <w:pPr>
        <w:pStyle w:val="FirstParagraph"/>
      </w:pPr>
      <w:r>
        <w:t xml:space="preserve">Например, определим переменную intg DD 3 – это означает, что задается область памяти размером 4 байта, адрес которой обозначен меткой intg. В таком случае, команда</w:t>
      </w:r>
      <w:r>
        <w:t xml:space="preserve"> </w:t>
      </w:r>
      <w:r>
        <w:t xml:space="preserve">mov eax,[intg]</w:t>
      </w:r>
      <w:r>
        <w:t xml:space="preserve"> </w:t>
      </w:r>
      <w:r>
        <w:t xml:space="preserve">копирует из памяти по адресу intg данные в регистр eax. В свою очередь команда</w:t>
      </w:r>
      <w:r>
        <w:t xml:space="preserve"> </w:t>
      </w:r>
      <w:r>
        <w:t xml:space="preserve">mov [intg],eax</w:t>
      </w:r>
      <w:r>
        <w:t xml:space="preserve"> </w:t>
      </w:r>
      <w:r>
        <w:t xml:space="preserve">запишет в память по адресу intg данные из регистра eax. Также рассмотрим команду</w:t>
      </w:r>
      <w:r>
        <w:t xml:space="preserve"> </w:t>
      </w:r>
      <w:r>
        <w:t xml:space="preserve">mov eax,intg</w:t>
      </w:r>
      <w:r>
        <w:t xml:space="preserve"> </w:t>
      </w:r>
      <w:r>
        <w:t xml:space="preserve">В этом случае в регистр eax запишется адрес intg. Допустим,для intg выде- лена память начиная с ячейки с адресом 0x600144,тогда команда mov eax,intg аналогична команде mov eax,0x600144 – т.е. эта команда запишет в регистр eax число 0x600144.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End w:id="22"/>
    <w:bookmarkStart w:id="31" w:name="символьные-и-численные-данные-в-nasm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Символьные и численные данные в NASM</w:t>
      </w:r>
    </w:p>
    <w:p>
      <w:pPr>
        <w:numPr>
          <w:ilvl w:val="0"/>
          <w:numId w:val="1003"/>
        </w:numPr>
      </w:pPr>
      <w:r>
        <w:t xml:space="preserve">Создаю каталог для программам лабораторной работы № 7, перейду в него и создам файл lab7-1.asm:</w:t>
      </w:r>
    </w:p>
    <w:p>
      <w:pPr>
        <w:numPr>
          <w:ilvl w:val="0"/>
          <w:numId w:val="1003"/>
        </w:numPr>
      </w:pPr>
      <w:r>
        <w:t xml:space="preserve">Рассмотрим примеры программ вывода символьных и численных значе- ний. Программы будут выводить значения записанные в регистр eax.Листинг 7.1(1)(2)</w:t>
      </w:r>
    </w:p>
    <w:p>
      <w:pPr>
        <w:pStyle w:val="FirstParagraph"/>
      </w:pPr>
      <w:bookmarkStart w:id="23" w:name="fig:001"/>
      <w:r>
        <w:t xml:space="preserve">Рис. 1: lab7-1</w:t>
      </w:r>
      <w:bookmarkEnd w:id="23"/>
    </w:p>
    <w:p>
      <w:pPr>
        <w:pStyle w:val="BodyText"/>
      </w:pPr>
      <w:bookmarkStart w:id="24" w:name="fig:002"/>
      <w:r>
        <w:t xml:space="preserve">Рис. 2: lab7-1</w:t>
      </w:r>
      <w:bookmarkEnd w:id="24"/>
    </w:p>
    <w:p>
      <w:pPr>
        <w:numPr>
          <w:ilvl w:val="0"/>
          <w:numId w:val="1004"/>
        </w:numPr>
        <w:pStyle w:val="Compact"/>
      </w:pPr>
      <w:r>
        <w:t xml:space="preserve">Далее изменим текст программы и вместо символов, запишем в реги- стры числа. Исправьте текст программы (Листинг 1) следующим образом. Не отображается(3)(4)</w:t>
      </w:r>
    </w:p>
    <w:p>
      <w:pPr>
        <w:pStyle w:val="FirstParagraph"/>
      </w:pPr>
      <w:bookmarkStart w:id="25" w:name="fig:003"/>
      <w:r>
        <w:t xml:space="preserve">Рис. 3: lab7-1</w:t>
      </w:r>
      <w:bookmarkEnd w:id="25"/>
    </w:p>
    <w:p>
      <w:pPr>
        <w:pStyle w:val="BodyText"/>
      </w:pPr>
      <w:bookmarkStart w:id="26" w:name="fig:004"/>
      <w:r>
        <w:t xml:space="preserve">Рис. 4: lab7-1</w:t>
      </w:r>
      <w:bookmarkEnd w:id="26"/>
    </w:p>
    <w:p>
      <w:pPr>
        <w:numPr>
          <w:ilvl w:val="0"/>
          <w:numId w:val="1005"/>
        </w:numPr>
        <w:pStyle w:val="Compact"/>
      </w:pPr>
      <w:r>
        <w:t xml:space="preserve">Создаю файл lab7-2.asm в каталоге ~/work/arch-pc/lab07 и введу в него текст программы из листинга 7.2.(5)(6)</w:t>
      </w:r>
    </w:p>
    <w:p>
      <w:pPr>
        <w:pStyle w:val="FirstParagraph"/>
      </w:pPr>
      <w:bookmarkStart w:id="27" w:name="fig:005"/>
      <w:r>
        <w:t xml:space="preserve">Рис. 5: lab7-2</w:t>
      </w:r>
      <w:bookmarkEnd w:id="27"/>
    </w:p>
    <w:p>
      <w:pPr>
        <w:pStyle w:val="BodyText"/>
      </w:pPr>
      <w:bookmarkStart w:id="28" w:name="fig:006"/>
      <w:r>
        <w:t xml:space="preserve">Рис. 6: lab7-2</w:t>
      </w:r>
      <w:bookmarkEnd w:id="28"/>
    </w:p>
    <w:p>
      <w:pPr>
        <w:numPr>
          <w:ilvl w:val="0"/>
          <w:numId w:val="1006"/>
        </w:numPr>
        <w:pStyle w:val="Compact"/>
      </w:pPr>
      <w:r>
        <w:t xml:space="preserve">Аналогично предыдущему примеру изменим символы на числа. Замените строки. Не переходит на новую строку.(7)(8)</w:t>
      </w:r>
    </w:p>
    <w:p>
      <w:pPr>
        <w:pStyle w:val="FirstParagraph"/>
      </w:pPr>
      <w:bookmarkStart w:id="29" w:name="fig:007"/>
      <w:r>
        <w:t xml:space="preserve">Рис. 7: lab7-2</w:t>
      </w:r>
      <w:bookmarkEnd w:id="29"/>
    </w:p>
    <w:p>
      <w:pPr>
        <w:pStyle w:val="BodyText"/>
      </w:pPr>
      <w:bookmarkStart w:id="30" w:name="fig:008"/>
      <w:r>
        <w:t xml:space="preserve">Рис. 8: lab7-2</w:t>
      </w:r>
      <w:bookmarkEnd w:id="30"/>
    </w:p>
    <w:bookmarkEnd w:id="31"/>
    <w:bookmarkStart w:id="40" w:name="X8c0a1c151545696051e31eb8f7e02c7d54dd7c6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арифметических операций в NASM</w:t>
      </w:r>
    </w:p>
    <w:p>
      <w:pPr>
        <w:numPr>
          <w:ilvl w:val="0"/>
          <w:numId w:val="1007"/>
        </w:numPr>
        <w:pStyle w:val="Compact"/>
      </w:pPr>
      <w:r>
        <w:t xml:space="preserve">В качестве примера выполнения арифметических операций в NASM при- ведем программу вычисления арифметического выражения 𝑓(𝑥)=(5∗2+ 3)/3. (9)(10)(11)(12)</w:t>
      </w:r>
    </w:p>
    <w:p>
      <w:pPr>
        <w:pStyle w:val="FirstParagraph"/>
      </w:pPr>
      <w:bookmarkStart w:id="32" w:name="fig:009"/>
      <w:r>
        <w:t xml:space="preserve">Рис. 9: lab7-3</w:t>
      </w:r>
      <w:bookmarkEnd w:id="32"/>
    </w:p>
    <w:p>
      <w:pPr>
        <w:pStyle w:val="BodyText"/>
      </w:pPr>
      <w:bookmarkStart w:id="33" w:name="fig:010"/>
      <w:r>
        <w:t xml:space="preserve">Рис. 10: lab7-3</w:t>
      </w:r>
      <w:bookmarkEnd w:id="33"/>
    </w:p>
    <w:p>
      <w:pPr>
        <w:pStyle w:val="BodyText"/>
      </w:pPr>
      <w:bookmarkStart w:id="34" w:name="fig:011"/>
      <w:r>
        <w:t xml:space="preserve">Рис. 11: lab7-3</w:t>
      </w:r>
      <w:bookmarkEnd w:id="34"/>
    </w:p>
    <w:p>
      <w:pPr>
        <w:pStyle w:val="BodyText"/>
      </w:pPr>
      <w:bookmarkStart w:id="35" w:name="fig:012"/>
      <w:r>
        <w:t xml:space="preserve">Рис. 12: lab7-3</w:t>
      </w:r>
      <w:bookmarkEnd w:id="35"/>
    </w:p>
    <w:p>
      <w:pPr>
        <w:numPr>
          <w:ilvl w:val="0"/>
          <w:numId w:val="1008"/>
        </w:numPr>
        <w:pStyle w:val="Compact"/>
      </w:pPr>
      <w:r>
        <w:t xml:space="preserve">В качестве другого примера рассмотрим программу вычисления варианта задания по номеру студенческого билета, работающую по следующему алгоритму(13)(14)</w:t>
      </w:r>
    </w:p>
    <w:p>
      <w:pPr>
        <w:pStyle w:val="FirstParagraph"/>
      </w:pPr>
      <w:bookmarkStart w:id="36" w:name="fig:013"/>
      <w:r>
        <w:t xml:space="preserve">Рис. 13: variant</w:t>
      </w:r>
      <w:bookmarkEnd w:id="36"/>
    </w:p>
    <w:p>
      <w:pPr>
        <w:pStyle w:val="BodyText"/>
      </w:pPr>
      <w:bookmarkStart w:id="37" w:name="fig:014"/>
      <w:r>
        <w:t xml:space="preserve">Рис. 14: variant</w:t>
      </w:r>
      <w:bookmarkEnd w:id="37"/>
    </w:p>
    <w:p>
      <w:pPr>
        <w:pStyle w:val="BodyText"/>
      </w:pPr>
      <w:r>
        <w:t xml:space="preserve">Ответы на вопросы:</w:t>
      </w:r>
    </w:p>
    <w:p>
      <w:pPr>
        <w:pStyle w:val="BodyText"/>
      </w:pPr>
      <w:r>
        <w:t xml:space="preserve">1.mov eax,rem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2.Ввод переменной x</w:t>
      </w:r>
    </w:p>
    <w:p>
      <w:pPr>
        <w:pStyle w:val="BodyText"/>
      </w:pPr>
      <w:r>
        <w:t xml:space="preserve">3.Преобразует строку string в целое значение типа int.</w:t>
      </w:r>
    </w:p>
    <w:p>
      <w:pPr>
        <w:pStyle w:val="BodyText"/>
      </w:pPr>
      <w:r>
        <w:t xml:space="preserve">4.xor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5.В mov edi,eax</w:t>
      </w:r>
    </w:p>
    <w:p>
      <w:pPr>
        <w:pStyle w:val="BodyText"/>
      </w:pPr>
      <w:r>
        <w:t xml:space="preserve">6.inc уеличивает на 1 свой операнд</w:t>
      </w:r>
    </w:p>
    <w:p>
      <w:pPr>
        <w:pStyle w:val="BodyText"/>
      </w:pPr>
      <w:r>
        <w:t xml:space="preserve">7.mov eax,edx</w:t>
      </w:r>
      <w:r>
        <w:t xml:space="preserve"> </w:t>
      </w:r>
      <w:r>
        <w:t xml:space="preserve">call iprintLF</w:t>
      </w:r>
    </w:p>
    <w:p>
      <w:pPr>
        <w:numPr>
          <w:ilvl w:val="0"/>
          <w:numId w:val="1009"/>
        </w:numPr>
        <w:pStyle w:val="Compact"/>
      </w:pPr>
      <w:r>
        <w:t xml:space="preserve">Самостоятельная работа:(15)(16)</w:t>
      </w:r>
    </w:p>
    <w:p>
      <w:pPr>
        <w:pStyle w:val="FirstParagraph"/>
      </w:pPr>
      <w:bookmarkStart w:id="38" w:name="fig:015"/>
      <w:r>
        <w:t xml:space="preserve">Рис. 15: variant</w:t>
      </w:r>
      <w:bookmarkEnd w:id="38"/>
    </w:p>
    <w:p>
      <w:pPr>
        <w:pStyle w:val="BodyText"/>
      </w:pPr>
      <w:bookmarkStart w:id="39" w:name="fig:016"/>
      <w:r>
        <w:t xml:space="preserve">Рис. 16: variant</w:t>
      </w:r>
      <w:bookmarkEnd w:id="39"/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арифметические инструкций языка ассемблера NASM.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№7.Арифметические операции в NASM.</dc:title>
  <dc:creator>Королёв Иван Андреевич</dc:creator>
  <dc:language>ru-RU</dc:language>
  <cp:keywords/>
  <dcterms:created xsi:type="dcterms:W3CDTF">2022-11-26T20:48:22Z</dcterms:created>
  <dcterms:modified xsi:type="dcterms:W3CDTF">2022-11-26T20:48:22Z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