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№10</w:t>
      </w:r>
    </w:p>
    <w:p>
      <w:pPr>
        <w:pStyle w:val="Author"/>
      </w:pPr>
      <w:r>
        <w:t xml:space="preserve">Королёв</w:t>
      </w:r>
      <w:r>
        <w:t xml:space="preserve"> </w:t>
      </w:r>
      <w:r>
        <w:t xml:space="preserve">Иван</w:t>
      </w:r>
      <w:r>
        <w:t xml:space="preserve"> </w:t>
      </w:r>
      <w:r>
        <w:t xml:space="preserve">Андреевича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 хиваторов на выбор zip, bzip2 или tar. Способ использования команд архивации необходимо узнать, изучив справку.</w:t>
      </w:r>
    </w:p>
    <w:p>
      <w:pPr>
        <w:numPr>
          <w:ilvl w:val="0"/>
          <w:numId w:val="1001"/>
        </w:numPr>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numPr>
          <w:ilvl w:val="0"/>
          <w:numId w:val="1001"/>
        </w:numPr>
      </w:pPr>
      <w:r>
        <w:t xml:space="preserve">Написать командный файл — аналог команды ls (без использования самой этой ко- манды и команды dir). Требуется,чтобы он выдавал информацию о нужном каталоге и выводил информацию о возможностях доступа к файлам этого каталога.</w:t>
      </w:r>
    </w:p>
    <w:p>
      <w:pPr>
        <w:numPr>
          <w:ilvl w:val="0"/>
          <w:numId w:val="1001"/>
        </w:numPr>
      </w:pPr>
      <w:r>
        <w:t xml:space="preserve">Написатькомандный файл,которыйполучаетв качестве аргумента команднойстроки формат файла (.txt, .doc, .jpg, .pdf и т.д.) и вычисляет количество таких файлов в указанной директории. Путь к директории также передаётся в виде аргумента ко- 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 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 – оболочка Борна (Bourne shell или sh) — стандартная командная оболочка UNIX/Linux, содержащая базовый, но при этом полный набор функций; – С-оболочка (или csh) — надстройка на оболочкой Борна, использующая С-подобный синтаксис команд с возможностью сохранения истории выполнения команд; – оболочка Корна (или ksh)—напоминает оболочку С,но операторы управления програм- мой совместимы с операторами оболочки Борна; – BASH — сокращение от Bourne Again Shell (опять оболочка Борна), в основе своей сов- мещает свойства оболочек С и Корна (разработка компании Free Software Foundation). 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 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 ках большинство команд будет совпадать с описанными ниже.</w:t>
      </w:r>
    </w:p>
    <w:bookmarkEnd w:id="22"/>
    <w:bookmarkStart w:id="67"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Style w:val="Compact"/>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 хиваторов на выбор zip, bzip2 или tar. Способ использования команд архивации необходимо узнать, изучив справку. (рис.</w:t>
      </w:r>
      <w:r>
        <w:t xml:space="preserve"> </w:t>
      </w:r>
      <w:hyperlink w:anchor="fig:001">
        <w:r>
          <w:rPr>
            <w:rStyle w:val="Hyperlink"/>
          </w:rPr>
          <w:t xml:space="preserve">1</w:t>
        </w:r>
      </w:hyperlink>
      <w:r>
        <w:t xml:space="preserve">), (рис.</w:t>
      </w:r>
      <w:r>
        <w:t xml:space="preserve"> </w:t>
      </w:r>
      <w:hyperlink w:anchor="fig:002">
        <w:r>
          <w:rPr>
            <w:rStyle w:val="Hyperlink"/>
          </w:rPr>
          <w:t xml:space="preserve">2</w:t>
        </w:r>
      </w:hyperlink>
      <w:r>
        <w:t xml:space="preserve">), (рис.</w:t>
      </w:r>
      <w:r>
        <w:t xml:space="preserve"> </w:t>
      </w:r>
      <w:hyperlink w:anchor="fig:003">
        <w:r>
          <w:rPr>
            <w:rStyle w:val="Hyperlink"/>
          </w:rPr>
          <w:t xml:space="preserve">3</w:t>
        </w:r>
      </w:hyperlink>
      <w:r>
        <w:t xml:space="preserve">), (рис.</w:t>
      </w:r>
      <w:r>
        <w:t xml:space="preserve"> </w:t>
      </w:r>
      <w:hyperlink w:anchor="fig:004">
        <w:r>
          <w:rPr>
            <w:rStyle w:val="Hyperlink"/>
          </w:rPr>
          <w:t xml:space="preserve">4</w:t>
        </w:r>
      </w:hyperlink>
      <w:r>
        <w:t xml:space="preserve">), (рис.</w:t>
      </w:r>
      <w:r>
        <w:t xml:space="preserve"> </w:t>
      </w:r>
      <w:hyperlink w:anchor="fig:005">
        <w:r>
          <w:rPr>
            <w:rStyle w:val="Hyperlink"/>
          </w:rPr>
          <w:t xml:space="preserve">5</w:t>
        </w:r>
      </w:hyperlink>
      <w:r>
        <w:t xml:space="preserve">)</w:t>
      </w:r>
    </w:p>
    <w:bookmarkStart w:id="0" w:name="fig:001"/>
    <w:p>
      <w:pPr>
        <w:pStyle w:val="CaptionedFigure"/>
      </w:pPr>
      <w:bookmarkStart w:id="26" w:name="fig:001"/>
      <w:r>
        <w:drawing>
          <wp:inline>
            <wp:extent cx="5067300" cy="1244600"/>
            <wp:effectExtent b="0" l="0" r="0" t="0"/>
            <wp:docPr descr="Figure 1: backup"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067300" cy="1244600"/>
                    </a:xfrm>
                    <a:prstGeom prst="rect">
                      <a:avLst/>
                    </a:prstGeom>
                    <a:noFill/>
                    <a:ln w="9525">
                      <a:noFill/>
                      <a:headEnd/>
                      <a:tailEnd/>
                    </a:ln>
                  </pic:spPr>
                </pic:pic>
              </a:graphicData>
            </a:graphic>
          </wp:inline>
        </w:drawing>
      </w:r>
      <w:bookmarkEnd w:id="26"/>
    </w:p>
    <w:p>
      <w:pPr>
        <w:pStyle w:val="ImageCaption"/>
      </w:pPr>
      <w:r>
        <w:t xml:space="preserve">Figure 1: backup</w:t>
      </w:r>
    </w:p>
    <w:bookmarkEnd w:id="0"/>
    <w:bookmarkStart w:id="0" w:name="fig:002"/>
    <w:p>
      <w:pPr>
        <w:pStyle w:val="CaptionedFigure"/>
      </w:pPr>
      <w:bookmarkStart w:id="30" w:name="fig:002"/>
      <w:r>
        <w:drawing>
          <wp:inline>
            <wp:extent cx="5143500" cy="2032000"/>
            <wp:effectExtent b="0" l="0" r="0" t="0"/>
            <wp:docPr descr="Figure 2: backup"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143500" cy="2032000"/>
                    </a:xfrm>
                    <a:prstGeom prst="rect">
                      <a:avLst/>
                    </a:prstGeom>
                    <a:noFill/>
                    <a:ln w="9525">
                      <a:noFill/>
                      <a:headEnd/>
                      <a:tailEnd/>
                    </a:ln>
                  </pic:spPr>
                </pic:pic>
              </a:graphicData>
            </a:graphic>
          </wp:inline>
        </w:drawing>
      </w:r>
      <w:bookmarkEnd w:id="30"/>
    </w:p>
    <w:p>
      <w:pPr>
        <w:pStyle w:val="ImageCaption"/>
      </w:pPr>
      <w:r>
        <w:t xml:space="preserve">Figure 2: backup</w:t>
      </w:r>
    </w:p>
    <w:bookmarkEnd w:id="0"/>
    <w:bookmarkStart w:id="0" w:name="fig:003"/>
    <w:p>
      <w:pPr>
        <w:pStyle w:val="CaptionedFigure"/>
      </w:pPr>
      <w:bookmarkStart w:id="34" w:name="fig:003"/>
      <w:r>
        <w:drawing>
          <wp:inline>
            <wp:extent cx="4572000" cy="863600"/>
            <wp:effectExtent b="0" l="0" r="0" t="0"/>
            <wp:docPr descr="Figure 3: backup"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4572000" cy="863600"/>
                    </a:xfrm>
                    <a:prstGeom prst="rect">
                      <a:avLst/>
                    </a:prstGeom>
                    <a:noFill/>
                    <a:ln w="9525">
                      <a:noFill/>
                      <a:headEnd/>
                      <a:tailEnd/>
                    </a:ln>
                  </pic:spPr>
                </pic:pic>
              </a:graphicData>
            </a:graphic>
          </wp:inline>
        </w:drawing>
      </w:r>
      <w:bookmarkEnd w:id="34"/>
    </w:p>
    <w:p>
      <w:pPr>
        <w:pStyle w:val="ImageCaption"/>
      </w:pPr>
      <w:r>
        <w:t xml:space="preserve">Figure 3: backup</w:t>
      </w:r>
    </w:p>
    <w:bookmarkEnd w:id="0"/>
    <w:bookmarkStart w:id="0" w:name="fig:004"/>
    <w:p>
      <w:pPr>
        <w:pStyle w:val="CaptionedFigure"/>
      </w:pPr>
      <w:bookmarkStart w:id="38" w:name="fig:004"/>
      <w:r>
        <w:drawing>
          <wp:inline>
            <wp:extent cx="5334000" cy="2408903"/>
            <wp:effectExtent b="0" l="0" r="0" t="0"/>
            <wp:docPr descr="Figure 4: backup"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2408903"/>
                    </a:xfrm>
                    <a:prstGeom prst="rect">
                      <a:avLst/>
                    </a:prstGeom>
                    <a:noFill/>
                    <a:ln w="9525">
                      <a:noFill/>
                      <a:headEnd/>
                      <a:tailEnd/>
                    </a:ln>
                  </pic:spPr>
                </pic:pic>
              </a:graphicData>
            </a:graphic>
          </wp:inline>
        </w:drawing>
      </w:r>
      <w:bookmarkEnd w:id="38"/>
    </w:p>
    <w:p>
      <w:pPr>
        <w:pStyle w:val="ImageCaption"/>
      </w:pPr>
      <w:r>
        <w:t xml:space="preserve">Figure 4: backup</w:t>
      </w:r>
    </w:p>
    <w:bookmarkEnd w:id="0"/>
    <w:bookmarkStart w:id="0" w:name="fig:005"/>
    <w:p>
      <w:pPr>
        <w:pStyle w:val="CaptionedFigure"/>
      </w:pPr>
      <w:bookmarkStart w:id="42" w:name="fig:005"/>
      <w:r>
        <w:drawing>
          <wp:inline>
            <wp:extent cx="4572000" cy="1574800"/>
            <wp:effectExtent b="0" l="0" r="0" t="0"/>
            <wp:docPr descr="Figure 5: backup"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4572000" cy="1574800"/>
                    </a:xfrm>
                    <a:prstGeom prst="rect">
                      <a:avLst/>
                    </a:prstGeom>
                    <a:noFill/>
                    <a:ln w="9525">
                      <a:noFill/>
                      <a:headEnd/>
                      <a:tailEnd/>
                    </a:ln>
                  </pic:spPr>
                </pic:pic>
              </a:graphicData>
            </a:graphic>
          </wp:inline>
        </w:drawing>
      </w:r>
      <w:bookmarkEnd w:id="42"/>
    </w:p>
    <w:p>
      <w:pPr>
        <w:pStyle w:val="ImageCaption"/>
      </w:pPr>
      <w:r>
        <w:t xml:space="preserve">Figure 5: backup</w:t>
      </w:r>
    </w:p>
    <w:bookmarkEnd w:id="0"/>
    <w:p>
      <w:pPr>
        <w:numPr>
          <w:ilvl w:val="0"/>
          <w:numId w:val="1003"/>
        </w:numPr>
        <w:pStyle w:val="Compact"/>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 (рис.</w:t>
      </w:r>
      <w:r>
        <w:t xml:space="preserve"> </w:t>
      </w:r>
      <w:hyperlink w:anchor="fig:006">
        <w:r>
          <w:rPr>
            <w:rStyle w:val="Hyperlink"/>
          </w:rPr>
          <w:t xml:space="preserve">6</w:t>
        </w:r>
      </w:hyperlink>
      <w:r>
        <w:t xml:space="preserve">), (рис.</w:t>
      </w:r>
      <w:r>
        <w:t xml:space="preserve"> </w:t>
      </w:r>
      <w:hyperlink w:anchor="fig:007">
        <w:r>
          <w:rPr>
            <w:rStyle w:val="Hyperlink"/>
          </w:rPr>
          <w:t xml:space="preserve">7</w:t>
        </w:r>
      </w:hyperlink>
      <w:r>
        <w:t xml:space="preserve">)</w:t>
      </w:r>
    </w:p>
    <w:bookmarkStart w:id="0" w:name="fig:006"/>
    <w:p>
      <w:pPr>
        <w:pStyle w:val="CaptionedFigure"/>
      </w:pPr>
      <w:bookmarkStart w:id="46" w:name="fig:006"/>
      <w:r>
        <w:drawing>
          <wp:inline>
            <wp:extent cx="5334000" cy="2119151"/>
            <wp:effectExtent b="0" l="0" r="0" t="0"/>
            <wp:docPr descr="Figure 6: numbers"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2119151"/>
                    </a:xfrm>
                    <a:prstGeom prst="rect">
                      <a:avLst/>
                    </a:prstGeom>
                    <a:noFill/>
                    <a:ln w="9525">
                      <a:noFill/>
                      <a:headEnd/>
                      <a:tailEnd/>
                    </a:ln>
                  </pic:spPr>
                </pic:pic>
              </a:graphicData>
            </a:graphic>
          </wp:inline>
        </w:drawing>
      </w:r>
      <w:bookmarkEnd w:id="46"/>
    </w:p>
    <w:p>
      <w:pPr>
        <w:pStyle w:val="ImageCaption"/>
      </w:pPr>
      <w:r>
        <w:t xml:space="preserve">Figure 6: numbers</w:t>
      </w:r>
    </w:p>
    <w:bookmarkEnd w:id="0"/>
    <w:bookmarkStart w:id="0" w:name="fig:007"/>
    <w:p>
      <w:pPr>
        <w:pStyle w:val="CaptionedFigure"/>
      </w:pPr>
      <w:bookmarkStart w:id="50" w:name="fig:007"/>
      <w:r>
        <w:drawing>
          <wp:inline>
            <wp:extent cx="1968500" cy="1549400"/>
            <wp:effectExtent b="0" l="0" r="0" t="0"/>
            <wp:docPr descr="Figure 7: numbers"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1968500" cy="1549400"/>
                    </a:xfrm>
                    <a:prstGeom prst="rect">
                      <a:avLst/>
                    </a:prstGeom>
                    <a:noFill/>
                    <a:ln w="9525">
                      <a:noFill/>
                      <a:headEnd/>
                      <a:tailEnd/>
                    </a:ln>
                  </pic:spPr>
                </pic:pic>
              </a:graphicData>
            </a:graphic>
          </wp:inline>
        </w:drawing>
      </w:r>
      <w:bookmarkEnd w:id="50"/>
    </w:p>
    <w:p>
      <w:pPr>
        <w:pStyle w:val="ImageCaption"/>
      </w:pPr>
      <w:r>
        <w:t xml:space="preserve">Figure 7: numbers</w:t>
      </w:r>
    </w:p>
    <w:bookmarkEnd w:id="0"/>
    <w:p>
      <w:pPr>
        <w:numPr>
          <w:ilvl w:val="0"/>
          <w:numId w:val="1004"/>
        </w:numPr>
        <w:pStyle w:val="Compact"/>
      </w:pPr>
      <w:r>
        <w:t xml:space="preserve">Написать командный файл — аналог команды ls (без использования самой этой ко- манды и команды dir). Требуется,чтобы он выдавал информацию о нужном каталоге и выводил информацию о возможностях доступа к файлам этого каталога. (рис.</w:t>
      </w:r>
      <w:r>
        <w:t xml:space="preserve"> </w:t>
      </w:r>
      <w:hyperlink w:anchor="fig:008">
        <w:r>
          <w:rPr>
            <w:rStyle w:val="Hyperlink"/>
          </w:rPr>
          <w:t xml:space="preserve">8</w:t>
        </w:r>
      </w:hyperlink>
      <w:r>
        <w:t xml:space="preserve">), (рис.</w:t>
      </w:r>
      <w:r>
        <w:t xml:space="preserve"> </w:t>
      </w:r>
      <w:hyperlink w:anchor="fig:009">
        <w:r>
          <w:rPr>
            <w:rStyle w:val="Hyperlink"/>
          </w:rPr>
          <w:t xml:space="preserve">9</w:t>
        </w:r>
      </w:hyperlink>
      <w:r>
        <w:t xml:space="preserve">)</w:t>
      </w:r>
    </w:p>
    <w:bookmarkStart w:id="0" w:name="fig:008"/>
    <w:p>
      <w:pPr>
        <w:pStyle w:val="CaptionedFigure"/>
      </w:pPr>
      <w:bookmarkStart w:id="54" w:name="fig:008"/>
      <w:r>
        <w:drawing>
          <wp:inline>
            <wp:extent cx="5334000" cy="4558362"/>
            <wp:effectExtent b="0" l="0" r="0" t="0"/>
            <wp:docPr descr="Figure 8: ls"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4558362"/>
                    </a:xfrm>
                    <a:prstGeom prst="rect">
                      <a:avLst/>
                    </a:prstGeom>
                    <a:noFill/>
                    <a:ln w="9525">
                      <a:noFill/>
                      <a:headEnd/>
                      <a:tailEnd/>
                    </a:ln>
                  </pic:spPr>
                </pic:pic>
              </a:graphicData>
            </a:graphic>
          </wp:inline>
        </w:drawing>
      </w:r>
      <w:bookmarkEnd w:id="54"/>
    </w:p>
    <w:p>
      <w:pPr>
        <w:pStyle w:val="ImageCaption"/>
      </w:pPr>
      <w:r>
        <w:t xml:space="preserve">Figure 8: ls</w:t>
      </w:r>
    </w:p>
    <w:bookmarkEnd w:id="0"/>
    <w:bookmarkStart w:id="0" w:name="fig:009"/>
    <w:p>
      <w:pPr>
        <w:pStyle w:val="CaptionedFigure"/>
      </w:pPr>
      <w:bookmarkStart w:id="58" w:name="fig:009"/>
      <w:r>
        <w:drawing>
          <wp:inline>
            <wp:extent cx="5334000" cy="4558362"/>
            <wp:effectExtent b="0" l="0" r="0" t="0"/>
            <wp:docPr descr="Figure 9: ls"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4558362"/>
                    </a:xfrm>
                    <a:prstGeom prst="rect">
                      <a:avLst/>
                    </a:prstGeom>
                    <a:noFill/>
                    <a:ln w="9525">
                      <a:noFill/>
                      <a:headEnd/>
                      <a:tailEnd/>
                    </a:ln>
                  </pic:spPr>
                </pic:pic>
              </a:graphicData>
            </a:graphic>
          </wp:inline>
        </w:drawing>
      </w:r>
      <w:bookmarkEnd w:id="58"/>
    </w:p>
    <w:p>
      <w:pPr>
        <w:pStyle w:val="ImageCaption"/>
      </w:pPr>
      <w:r>
        <w:t xml:space="preserve">Figure 9: ls</w:t>
      </w:r>
    </w:p>
    <w:bookmarkEnd w:id="0"/>
    <w:p>
      <w:pPr>
        <w:numPr>
          <w:ilvl w:val="0"/>
          <w:numId w:val="1005"/>
        </w:numPr>
        <w:pStyle w:val="Compact"/>
      </w:pPr>
      <w:r>
        <w:t xml:space="preserve">Написать командный файл,который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 (рис.</w:t>
      </w:r>
      <w:r>
        <w:t xml:space="preserve"> </w:t>
      </w:r>
      <w:hyperlink w:anchor="fig:0010">
        <w:r>
          <w:rPr>
            <w:rStyle w:val="Hyperlink"/>
          </w:rPr>
          <w:t xml:space="preserve">10</w:t>
        </w:r>
      </w:hyperlink>
      <w:r>
        <w:t xml:space="preserve">), (рис.</w:t>
      </w:r>
      <w:r>
        <w:t xml:space="preserve"> </w:t>
      </w:r>
      <w:hyperlink w:anchor="fig:0011">
        <w:r>
          <w:rPr>
            <w:rStyle w:val="Hyperlink"/>
          </w:rPr>
          <w:t xml:space="preserve">11</w:t>
        </w:r>
      </w:hyperlink>
      <w:r>
        <w:t xml:space="preserve">)</w:t>
      </w:r>
    </w:p>
    <w:bookmarkStart w:id="0" w:name="fig:0010"/>
    <w:p>
      <w:pPr>
        <w:pStyle w:val="CaptionedFigure"/>
      </w:pPr>
      <w:bookmarkStart w:id="62" w:name="fig:0010"/>
      <w:r>
        <w:drawing>
          <wp:inline>
            <wp:extent cx="5334000" cy="3717324"/>
            <wp:effectExtent b="0" l="0" r="0" t="0"/>
            <wp:docPr descr="Figure 10: search"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3717324"/>
                    </a:xfrm>
                    <a:prstGeom prst="rect">
                      <a:avLst/>
                    </a:prstGeom>
                    <a:noFill/>
                    <a:ln w="9525">
                      <a:noFill/>
                      <a:headEnd/>
                      <a:tailEnd/>
                    </a:ln>
                  </pic:spPr>
                </pic:pic>
              </a:graphicData>
            </a:graphic>
          </wp:inline>
        </w:drawing>
      </w:r>
      <w:bookmarkEnd w:id="62"/>
    </w:p>
    <w:p>
      <w:pPr>
        <w:pStyle w:val="ImageCaption"/>
      </w:pPr>
      <w:r>
        <w:t xml:space="preserve">Figure 10: search</w:t>
      </w:r>
    </w:p>
    <w:bookmarkEnd w:id="0"/>
    <w:bookmarkStart w:id="0" w:name="fig:0011"/>
    <w:p>
      <w:pPr>
        <w:pStyle w:val="CaptionedFigure"/>
      </w:pPr>
      <w:bookmarkStart w:id="66" w:name="fig:0011"/>
      <w:r>
        <w:drawing>
          <wp:inline>
            <wp:extent cx="5334000" cy="1994452"/>
            <wp:effectExtent b="0" l="0" r="0" t="0"/>
            <wp:docPr descr="Figure 11: search"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5334000" cy="1994452"/>
                    </a:xfrm>
                    <a:prstGeom prst="rect">
                      <a:avLst/>
                    </a:prstGeom>
                    <a:noFill/>
                    <a:ln w="9525">
                      <a:noFill/>
                      <a:headEnd/>
                      <a:tailEnd/>
                    </a:ln>
                  </pic:spPr>
                </pic:pic>
              </a:graphicData>
            </a:graphic>
          </wp:inline>
        </w:drawing>
      </w:r>
      <w:bookmarkEnd w:id="66"/>
    </w:p>
    <w:p>
      <w:pPr>
        <w:pStyle w:val="ImageCaption"/>
      </w:pPr>
      <w:r>
        <w:t xml:space="preserve">Figure 11: search</w:t>
      </w:r>
    </w:p>
    <w:bookmarkEnd w:id="0"/>
    <w:bookmarkEnd w:id="67"/>
    <w:bookmarkStart w:id="68" w:name="выводы"/>
    <w:p>
      <w:pPr>
        <w:pStyle w:val="Heading1"/>
      </w:pPr>
      <w:r>
        <w:rPr>
          <w:rStyle w:val="SectionNumber"/>
        </w:rPr>
        <w:t xml:space="preserve">5</w:t>
      </w:r>
      <w:r>
        <w:tab/>
      </w:r>
      <w:r>
        <w:t xml:space="preserve">Выводы</w:t>
      </w:r>
    </w:p>
    <w:p>
      <w:pPr>
        <w:pStyle w:val="FirstParagraph"/>
      </w:pPr>
      <w:r>
        <w:t xml:space="preserve">Изучил основы программирования в оболочке ОС UNIX/Linux. Научился писать небольшие командные файлы.</w:t>
      </w:r>
    </w:p>
    <w:bookmarkEnd w:id="68"/>
    <w:bookmarkStart w:id="69"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6"/>
        </w:numPr>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6"/>
        </w:numPr>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6"/>
        </w:numPr>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 Например, команда mv afile $mark переместит файл afile из текущего каталога в каталог с абсолютным полным именем /usr/andy/bin. Использование значения, присвоенного некоторой переменной, называется подстановкой. 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6"/>
        </w:numPr>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06"/>
        </w:numPr>
      </w:pPr>
      <w:r>
        <w:t xml:space="preserve">Какие арифметические операции можно применять в языке программирования bash? 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numPr>
          <w:ilvl w:val="0"/>
          <w:numId w:val="1006"/>
        </w:numPr>
      </w:pPr>
      <w:r>
        <w:t xml:space="preserve">Условия оболочки bash.</w:t>
      </w:r>
    </w:p>
    <w:p>
      <w:pPr>
        <w:numPr>
          <w:ilvl w:val="0"/>
          <w:numId w:val="1006"/>
        </w:numPr>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6"/>
        </w:numPr>
      </w:pPr>
      <w:r>
        <w:t xml:space="preserve">Такие символы, как ’ &lt; &gt; * ? |  ” &amp; являются метасимволами и имеют для командного процессора специальный смысл.</w:t>
      </w:r>
    </w:p>
    <w:p>
      <w:pPr>
        <w:numPr>
          <w:ilvl w:val="0"/>
          <w:numId w:val="1006"/>
        </w:numPr>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w:t>
      </w:r>
      <w:r>
        <w:t xml:space="preserve"> </w:t>
      </w:r>
      <w:r>
        <w:rPr>
          <w:iCs/>
          <w:i/>
        </w:rPr>
        <w:t xml:space="preserve">выведет на экран символ</w:t>
      </w:r>
      <w:r>
        <w:t xml:space="preserve">,–echo ab’|’cdвыдаст строку ab</w:t>
      </w:r>
      <w:r>
        <w:rPr>
          <w:iCs/>
          <w:i/>
        </w:rPr>
        <w:t xml:space="preserve">|</w:t>
      </w:r>
      <w:r>
        <w:t xml:space="preserve">cd.</w:t>
      </w:r>
    </w:p>
    <w:p>
      <w:pPr>
        <w:numPr>
          <w:ilvl w:val="0"/>
          <w:numId w:val="1006"/>
        </w:numPr>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6"/>
        </w:numPr>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7"/>
        </w:numPr>
        <w:pStyle w:val="Compact"/>
      </w:pPr>
      <w:r>
        <w:t xml:space="preserve">Каким образом можно выяснить, является файл каталогом или обычным файлом?</w:t>
      </w:r>
    </w:p>
    <w:p>
      <w:pPr>
        <w:pStyle w:val="FirstParagraph"/>
      </w:pPr>
      <w:r>
        <w:t xml:space="preserve">ls -lrt Если есть d, то является файл каталогом</w:t>
      </w:r>
    </w:p>
    <w:p>
      <w:pPr>
        <w:numPr>
          <w:ilvl w:val="0"/>
          <w:numId w:val="1008"/>
        </w:numPr>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8"/>
        </w:numPr>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09"/>
        </w:numPr>
        <w:pStyle w:val="Compact"/>
      </w:pPr>
      <w:r>
        <w:t xml:space="preserve">Назовите специальные переменные языка bash и их назначение.</w:t>
      </w:r>
    </w:p>
    <w:p>
      <w:pPr>
        <w:numPr>
          <w:ilvl w:val="0"/>
          <w:numId w:val="1010"/>
        </w:numPr>
      </w:pPr>
      <w:r>
        <w:t xml:space="preserve">$* — отображается вся командная строка или параметры оболочки;</w:t>
      </w:r>
    </w:p>
    <w:p>
      <w:pPr>
        <w:numPr>
          <w:ilvl w:val="0"/>
          <w:numId w:val="1010"/>
        </w:numPr>
      </w:pPr>
      <w:r>
        <w:t xml:space="preserve">$? — код завершения последней выполненной команды;</w:t>
      </w:r>
    </w:p>
    <w:p>
      <w:pPr>
        <w:numPr>
          <w:ilvl w:val="0"/>
          <w:numId w:val="1010"/>
        </w:numPr>
      </w:pPr>
      <w:r>
        <w:t xml:space="preserve">$$ — уникальный идентификатор процесса, в рамках которого выполняется командный процессор;</w:t>
      </w:r>
    </w:p>
    <w:p>
      <w:pPr>
        <w:numPr>
          <w:ilvl w:val="0"/>
          <w:numId w:val="1010"/>
        </w:numPr>
      </w:pPr>
      <w:r>
        <w:t xml:space="preserve">$! — номер процесса, в рамках которого выполняется последняя вызванная на выполнение в командном режиме команда;</w:t>
      </w:r>
    </w:p>
    <w:p>
      <w:pPr>
        <w:numPr>
          <w:ilvl w:val="0"/>
          <w:numId w:val="1010"/>
        </w:numPr>
      </w:pPr>
      <w:r>
        <w:t xml:space="preserve">$- — значение флагов командного процессора;</w:t>
      </w:r>
    </w:p>
    <w:p>
      <w:pPr>
        <w:numPr>
          <w:ilvl w:val="0"/>
          <w:numId w:val="1010"/>
        </w:numPr>
      </w:pPr>
      <w:r>
        <w:t xml:space="preserve">${#} — возвращает целое число — количество слов, которые были результатом $;</w:t>
      </w:r>
    </w:p>
    <w:p>
      <w:pPr>
        <w:numPr>
          <w:ilvl w:val="0"/>
          <w:numId w:val="1010"/>
        </w:numPr>
      </w:pPr>
      <w:r>
        <w:t xml:space="preserve">${#name} — возвращает целое значение длины строки в переменной name;</w:t>
      </w:r>
    </w:p>
    <w:p>
      <w:pPr>
        <w:numPr>
          <w:ilvl w:val="0"/>
          <w:numId w:val="1010"/>
        </w:numPr>
      </w:pPr>
      <w:r>
        <w:t xml:space="preserve">${name[n]} — обращение к n-ному элементу массива;</w:t>
      </w:r>
    </w:p>
    <w:p>
      <w:pPr>
        <w:numPr>
          <w:ilvl w:val="0"/>
          <w:numId w:val="1010"/>
        </w:numPr>
      </w:pPr>
      <w:r>
        <w:t xml:space="preserve">${name[*]} — перечисляет все элементы массива, разделенные пробелом;</w:t>
      </w:r>
    </w:p>
    <w:p>
      <w:pPr>
        <w:numPr>
          <w:ilvl w:val="0"/>
          <w:numId w:val="1010"/>
        </w:numPr>
      </w:pPr>
      <w:r>
        <w:t xml:space="preserve">${name[@]} — то же самое, но позволяет учитывать символы пробелы в самих переменных;</w:t>
      </w:r>
    </w:p>
    <w:p>
      <w:pPr>
        <w:numPr>
          <w:ilvl w:val="0"/>
          <w:numId w:val="1010"/>
        </w:numPr>
      </w:pPr>
      <w:r>
        <w:t xml:space="preserve">${name:-value} — если значение переменной name не определено, то оно будет заменено на указанное value;</w:t>
      </w:r>
    </w:p>
    <w:p>
      <w:pPr>
        <w:numPr>
          <w:ilvl w:val="0"/>
          <w:numId w:val="1010"/>
        </w:numPr>
      </w:pPr>
      <w:r>
        <w:t xml:space="preserve">${name:value} — проверяется факт существования переменной;</w:t>
      </w:r>
    </w:p>
    <w:p>
      <w:pPr>
        <w:numPr>
          <w:ilvl w:val="0"/>
          <w:numId w:val="1010"/>
        </w:numPr>
      </w:pPr>
      <w:r>
        <w:t xml:space="preserve">${name=value} — если name не определено, то ему присваивается значение value;</w:t>
      </w:r>
    </w:p>
    <w:p>
      <w:pPr>
        <w:numPr>
          <w:ilvl w:val="0"/>
          <w:numId w:val="1010"/>
        </w:numPr>
      </w:pPr>
      <w:r>
        <w:t xml:space="preserve">${name?value} — останавливает выполнение, если имя переменной не определено, и выводит value, как сообщение об ошибке;</w:t>
      </w:r>
    </w:p>
    <w:p>
      <w:pPr>
        <w:numPr>
          <w:ilvl w:val="0"/>
          <w:numId w:val="1010"/>
        </w:numPr>
      </w:pPr>
      <w:r>
        <w:t xml:space="preserve">${name+value} — это выражение работает противоположно ${name-value}. Если переменная определена, то подставляется value;</w:t>
      </w:r>
    </w:p>
    <w:p>
      <w:pPr>
        <w:numPr>
          <w:ilvl w:val="0"/>
          <w:numId w:val="1010"/>
        </w:numPr>
      </w:pPr>
      <w:r>
        <w:t xml:space="preserve">${name#pattern} — представляет значение переменной name с удаленным самым коротким левым образцом (pattern);</w:t>
      </w:r>
    </w:p>
    <w:p>
      <w:pPr>
        <w:numPr>
          <w:ilvl w:val="0"/>
          <w:numId w:val="1010"/>
        </w:numPr>
      </w:pPr>
      <w:r>
        <w:t xml:space="preserve">${#name[*]} и ${#name[@]} — эти выражения возвращают количество элементов в массиве name.</w:t>
      </w:r>
    </w:p>
    <w:p>
      <w:pPr>
        <w:numPr>
          <w:ilvl w:val="0"/>
          <w:numId w:val="1010"/>
        </w:numPr>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8">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9">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№10</dc:title>
  <dc:creator>Королёв Иван Андреевича</dc:creator>
  <dc:language>ru-RU</dc:language>
  <cp:keywords/>
  <dcterms:created xsi:type="dcterms:W3CDTF">2023-04-08T12:50:17Z</dcterms:created>
  <dcterms:modified xsi:type="dcterms:W3CDTF">2023-04-08T12:50:17Z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