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и настройка Rocky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скачивание-и-установка-rocky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Скачивание и установка Rocky</w:t>
      </w:r>
    </w:p>
    <w:p>
      <w:pPr>
        <w:pStyle w:val="FirstParagraph"/>
      </w:pPr>
      <w:r>
        <w:t xml:space="preserve">Скачиваю необходимый iso-образ, в virtualbox нажимаю</w:t>
      </w:r>
      <w:r>
        <w:t xml:space="preserve"> </w:t>
      </w:r>
      <w:r>
        <w:t xml:space="preserve">“</w:t>
      </w:r>
      <w:r>
        <w:t xml:space="preserve">машина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создать новую машину</w:t>
      </w:r>
      <w:r>
        <w:t xml:space="preserve">”</w:t>
      </w:r>
      <w:r>
        <w:t xml:space="preserve">. Далее необходимо будет дать название машине, выделить оперативную память, количество ядер, память для жесткого диска и тд, после начинается обычная установка (Выбор часового пояса, языка и диска, на который будет установка.</w:t>
      </w:r>
    </w:p>
    <w:bookmarkEnd w:id="23"/>
    <w:bookmarkStart w:id="27" w:name="X552b86c65445ac349a28766cf4fa95fd7ef0b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Ввожу необходимые команды (рис. fig. 1).</w:t>
      </w:r>
    </w:p>
    <w:p>
      <w:pPr>
        <w:pStyle w:val="CaptionedFigure"/>
      </w:pPr>
      <w:r>
        <w:drawing>
          <wp:inline>
            <wp:extent cx="3733800" cy="3709072"/>
            <wp:effectExtent b="0" l="0" r="0" t="0"/>
            <wp:docPr descr="Установка имени пользователя и названия хоста" title="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имени пользователя и названия хоста</w:t>
      </w:r>
    </w:p>
    <w:bookmarkEnd w:id="27"/>
    <w:bookmarkStart w:id="49" w:name="домашнее-зад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Версия ядра(рис. fig. 2).</w:t>
      </w:r>
    </w:p>
    <w:p>
      <w:pPr>
        <w:pStyle w:val="CaptionedFigure"/>
      </w:pPr>
      <w:r>
        <w:drawing>
          <wp:inline>
            <wp:extent cx="3733800" cy="86014"/>
            <wp:effectExtent b="0" l="0" r="0" t="0"/>
            <wp:docPr descr="Версия ядра" title="" id="29" name="Picture"/>
            <a:graphic>
              <a:graphicData uri="http://schemas.openxmlformats.org/drawingml/2006/picture">
                <pic:pic>
                  <pic:nvPicPr>
                    <pic:cNvPr descr="image/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Версия ядра</w:t>
      </w:r>
    </w:p>
    <w:p>
      <w:pPr>
        <w:numPr>
          <w:ilvl w:val="0"/>
          <w:numId w:val="1002"/>
        </w:numPr>
        <w:pStyle w:val="Compact"/>
      </w:pPr>
      <w:r>
        <w:t xml:space="preserve">Частота процессора (Detected Mhz processor)(рис. fig. 3).</w:t>
      </w:r>
    </w:p>
    <w:p>
      <w:pPr>
        <w:pStyle w:val="CaptionedFigure"/>
      </w:pPr>
      <w:r>
        <w:drawing>
          <wp:inline>
            <wp:extent cx="3733800" cy="266171"/>
            <wp:effectExtent b="0" l="0" r="0" t="0"/>
            <wp:docPr descr="Частота процессора" title="" id="32" name="Picture"/>
            <a:graphic>
              <a:graphicData uri="http://schemas.openxmlformats.org/drawingml/2006/picture">
                <pic:pic>
                  <pic:nvPicPr>
                    <pic:cNvPr descr="image/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Частота процессора</w:t>
      </w:r>
    </w:p>
    <w:p>
      <w:pPr>
        <w:numPr>
          <w:ilvl w:val="0"/>
          <w:numId w:val="1003"/>
        </w:numPr>
        <w:pStyle w:val="Compact"/>
      </w:pPr>
      <w:r>
        <w:t xml:space="preserve">Модель процессора (CPU0).(рис. fig. 4).</w:t>
      </w:r>
    </w:p>
    <w:p>
      <w:pPr>
        <w:pStyle w:val="CaptionedFigure"/>
      </w:pPr>
      <w:r>
        <w:drawing>
          <wp:inline>
            <wp:extent cx="3733800" cy="140750"/>
            <wp:effectExtent b="0" l="0" r="0" t="0"/>
            <wp:docPr descr="Модель процессора" title="" id="35" name="Picture"/>
            <a:graphic>
              <a:graphicData uri="http://schemas.openxmlformats.org/drawingml/2006/picture">
                <pic:pic>
                  <pic:nvPicPr>
                    <pic:cNvPr descr="image/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процессора</w:t>
      </w:r>
    </w:p>
    <w:p>
      <w:pPr>
        <w:numPr>
          <w:ilvl w:val="0"/>
          <w:numId w:val="1004"/>
        </w:numPr>
        <w:pStyle w:val="Compact"/>
      </w:pPr>
      <w:r>
        <w:t xml:space="preserve">Объем доступной оперативной памяти (Memory available).(рис. fig. 5).</w:t>
      </w:r>
    </w:p>
    <w:p>
      <w:pPr>
        <w:pStyle w:val="CaptionedFigure"/>
      </w:pPr>
      <w:r>
        <w:drawing>
          <wp:inline>
            <wp:extent cx="3733800" cy="1076533"/>
            <wp:effectExtent b="0" l="0" r="0" t="0"/>
            <wp:docPr descr="Объем доступной оперативной памяти" title="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Объем доступной оперативной памяти</w:t>
      </w:r>
    </w:p>
    <w:p>
      <w:pPr>
        <w:numPr>
          <w:ilvl w:val="0"/>
          <w:numId w:val="1005"/>
        </w:numPr>
        <w:pStyle w:val="Compact"/>
      </w:pPr>
      <w:r>
        <w:t xml:space="preserve">Тип обнаруженного гипервизора (Hypervisor detected).(рис. fig. 6).</w:t>
      </w:r>
    </w:p>
    <w:p>
      <w:pPr>
        <w:pStyle w:val="CaptionedFigure"/>
      </w:pPr>
      <w:r>
        <w:drawing>
          <wp:inline>
            <wp:extent cx="3733800" cy="705190"/>
            <wp:effectExtent b="0" l="0" r="0" t="0"/>
            <wp:docPr descr="Тип обнаруженного гипервизора" title="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 обнаруженного гипервизора</w:t>
      </w:r>
    </w:p>
    <w:p>
      <w:pPr>
        <w:numPr>
          <w:ilvl w:val="0"/>
          <w:numId w:val="1006"/>
        </w:numPr>
        <w:pStyle w:val="Compact"/>
      </w:pPr>
      <w:r>
        <w:t xml:space="preserve">Тип файловой системы корневого раздела.(рис. fig. 7).</w:t>
      </w:r>
    </w:p>
    <w:p>
      <w:pPr>
        <w:pStyle w:val="CaptionedFigure"/>
      </w:pPr>
      <w:r>
        <w:drawing>
          <wp:inline>
            <wp:extent cx="3733800" cy="275986"/>
            <wp:effectExtent b="0" l="0" r="0" t="0"/>
            <wp:docPr descr="Тип файловой системы корневого раздела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 файловой системы корневого раздела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монтирования файловых систем.(рис. fig. 8).</w:t>
      </w:r>
    </w:p>
    <w:p>
      <w:pPr>
        <w:pStyle w:val="CaptionedFigure"/>
      </w:pPr>
      <w:r>
        <w:drawing>
          <wp:inline>
            <wp:extent cx="3733800" cy="1157361"/>
            <wp:effectExtent b="0" l="0" r="0" t="0"/>
            <wp:docPr descr="Последовательность монтирования файловых систем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Последовательность монтирования файловых систем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Королёв Иван АНдреевич</dc:creator>
  <dc:language>ru-RU</dc:language>
  <cp:keywords/>
  <dcterms:created xsi:type="dcterms:W3CDTF">2024-02-17T18:13:02Z</dcterms:created>
  <dcterms:modified xsi:type="dcterms:W3CDTF">2024-02-17T18:13:02Z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