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1.png" ContentType="image/png"/>
  <Override PartName="/word/media/rId3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 работа № 15</w:t>
      </w:r>
    </w:p>
    <w:p>
      <w:pPr>
        <w:pStyle w:val="Subtitle"/>
      </w:pPr>
      <w:r>
        <w:t xml:space="preserve">Математическое моделирование</w:t>
      </w:r>
    </w:p>
    <w:p>
      <w:pPr>
        <w:pStyle w:val="Author"/>
      </w:pPr>
      <w:r>
        <w:t xml:space="preserve">Королёв Иван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Реализовать модели обслуживания с приоритетами и провести анализ результатов.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Смоделировать модель обслуживания механиков на складе</w:t>
      </w:r>
    </w:p>
    <w:p>
      <w:pPr>
        <w:pStyle w:val="Compact"/>
        <w:numPr>
          <w:ilvl w:val="0"/>
          <w:numId w:val="1001"/>
        </w:numPr>
      </w:pPr>
      <w:r>
        <w:t xml:space="preserve">Смоделировать модель обслуживания в порту судов двух типов</w:t>
      </w:r>
    </w:p>
    <w:bookmarkEnd w:id="21"/>
    <w:bookmarkStart w:id="4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30" w:name="X9368f2f080407b2d5ee9d0136e6f251cbdd4b24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Моделирование модели обслуживания механиков на складе</w:t>
      </w:r>
    </w:p>
    <w:p>
      <w:pPr>
        <w:pStyle w:val="FirstParagraph"/>
      </w:pPr>
      <w:r>
        <w:t xml:space="preserve">Задаю приоритеты запросов путем использования для операнда E блока GENERATE запросов второй категории большего значения, чем для запросов первой категории. Таким образом, модель: (рис. 1).</w:t>
      </w:r>
    </w:p>
    <w:bookmarkStart w:id="25" w:name="fig:001"/>
    <w:p>
      <w:pPr>
        <w:pStyle w:val="CaptionedFigure"/>
      </w:pPr>
      <w:r>
        <w:drawing>
          <wp:inline>
            <wp:extent cx="2082373" cy="3526971"/>
            <wp:effectExtent b="0" l="0" r="0" t="0"/>
            <wp:docPr descr="Рис. 1: Модель обслуживания механиков на складе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2373" cy="35269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Модель обслуживания механиков на складе</w:t>
      </w:r>
    </w:p>
    <w:bookmarkEnd w:id="25"/>
    <w:p>
      <w:pPr>
        <w:pStyle w:val="BodyText"/>
      </w:pPr>
      <w:r>
        <w:t xml:space="preserve">Отчёт данной модели (рис. 2).</w:t>
      </w:r>
    </w:p>
    <w:bookmarkStart w:id="29" w:name="fig:002"/>
    <w:p>
      <w:pPr>
        <w:pStyle w:val="CaptionedFigure"/>
      </w:pPr>
      <w:r>
        <w:drawing>
          <wp:inline>
            <wp:extent cx="3733800" cy="5152226"/>
            <wp:effectExtent b="0" l="0" r="0" t="0"/>
            <wp:docPr descr="Рис. 2: Отчет модели обслуживания механиков на складе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1522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Отчет модели обслуживания механиков на складе</w:t>
      </w:r>
    </w:p>
    <w:bookmarkEnd w:id="29"/>
    <w:p>
      <w:pPr>
        <w:pStyle w:val="BodyText"/>
      </w:pPr>
      <w:r>
        <w:t xml:space="preserve">модельное время в начале моделирования:</w:t>
      </w:r>
      <w:r>
        <w:t xml:space="preserve"> </w:t>
      </w:r>
      <w:r>
        <w:rPr>
          <w:rStyle w:val="VerbatimChar"/>
        </w:rPr>
        <w:t xml:space="preserve">START TIME</w:t>
      </w:r>
      <w:r>
        <w:t xml:space="preserve">=0.0; абсолютное время или момент, когда счетчик завершений принял значение 0:</w:t>
      </w:r>
      <w:r>
        <w:t xml:space="preserve"> </w:t>
      </w:r>
      <w:r>
        <w:rPr>
          <w:rStyle w:val="VerbatimChar"/>
        </w:rPr>
        <w:t xml:space="preserve">END TIME</w:t>
      </w:r>
      <w:r>
        <w:t xml:space="preserve">=28800.0; количество блоков, использованных в текущей модели, к моменту завершения моделирования:</w:t>
      </w:r>
      <w:r>
        <w:t xml:space="preserve"> </w:t>
      </w:r>
      <w:r>
        <w:rPr>
          <w:rStyle w:val="VerbatimChar"/>
        </w:rPr>
        <w:t xml:space="preserve">BLOCKS</w:t>
      </w:r>
      <w:r>
        <w:t xml:space="preserve">=16; количество одноканальных устройств, использованных в модели к моменту завершения моделирования:</w:t>
      </w:r>
      <w:r>
        <w:t xml:space="preserve"> </w:t>
      </w:r>
      <w:r>
        <w:rPr>
          <w:rStyle w:val="VerbatimChar"/>
        </w:rPr>
        <w:t xml:space="preserve">FACILITIES</w:t>
      </w:r>
      <w:r>
        <w:t xml:space="preserve">=1; количество многоканальных устройств, использованных в текущей модели к моменту завершения моделирования:</w:t>
      </w:r>
      <w:r>
        <w:t xml:space="preserve"> </w:t>
      </w:r>
      <w:r>
        <w:rPr>
          <w:rStyle w:val="VerbatimChar"/>
        </w:rPr>
        <w:t xml:space="preserve">STORAGES</w:t>
      </w:r>
      <w:r>
        <w:t xml:space="preserve">=0. Имена, используемые в программе модели:</w:t>
      </w:r>
      <w:r>
        <w:t xml:space="preserve"> </w:t>
      </w:r>
      <w:r>
        <w:rPr>
          <w:rStyle w:val="VerbatimChar"/>
        </w:rPr>
        <w:t xml:space="preserve">QS1</w:t>
      </w:r>
      <w:r>
        <w:t xml:space="preserve">(первый тип заявок),</w:t>
      </w:r>
      <w:r>
        <w:t xml:space="preserve"> </w:t>
      </w:r>
      <w:r>
        <w:rPr>
          <w:rStyle w:val="VerbatimChar"/>
        </w:rPr>
        <w:t xml:space="preserve">QS2</w:t>
      </w:r>
      <w:r>
        <w:t xml:space="preserve">(второй тип заявок),</w:t>
      </w:r>
      <w:r>
        <w:t xml:space="preserve"> </w:t>
      </w:r>
      <w:r>
        <w:rPr>
          <w:rStyle w:val="VerbatimChar"/>
        </w:rPr>
        <w:t xml:space="preserve">STOCKMAN</w:t>
      </w:r>
      <w:r>
        <w:t xml:space="preserve">(обработчик заявок). Было сгенерировано 71 заявка первого типа и 83 второго, а обработано 64 и 81 соответственно. Полезность работы оператора составила 0,967. При этом среднее время занятости оператора составило 190,733 мин.</w:t>
      </w:r>
    </w:p>
    <w:bookmarkEnd w:id="30"/>
    <w:bookmarkStart w:id="39" w:name="X4c31e346124c962d330c745c95786aa399b8711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Моделирование модели обслуживания в порту судов двух типов</w:t>
      </w:r>
    </w:p>
    <w:p>
      <w:pPr>
        <w:pStyle w:val="FirstParagraph"/>
      </w:pPr>
      <w:r>
        <w:t xml:space="preserve">Построение модели (рис. 3).</w:t>
      </w:r>
    </w:p>
    <w:bookmarkStart w:id="34" w:name="fig:003"/>
    <w:p>
      <w:pPr>
        <w:pStyle w:val="CaptionedFigure"/>
      </w:pPr>
      <w:r>
        <w:drawing>
          <wp:inline>
            <wp:extent cx="3733800" cy="5515334"/>
            <wp:effectExtent b="0" l="0" r="0" t="0"/>
            <wp:docPr descr="Рис. 3: Модель обслуживания в порту судов двух типов" title="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5153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Модель обслуживания в порту судов двух типов</w:t>
      </w:r>
    </w:p>
    <w:bookmarkEnd w:id="34"/>
    <w:p>
      <w:pPr>
        <w:pStyle w:val="BodyText"/>
      </w:pPr>
      <w:r>
        <w:t xml:space="preserve">Отчёт данной модели (рис. 4).</w:t>
      </w:r>
    </w:p>
    <w:bookmarkStart w:id="38" w:name="fig:004"/>
    <w:p>
      <w:pPr>
        <w:pStyle w:val="CaptionedFigure"/>
      </w:pPr>
      <w:r>
        <w:drawing>
          <wp:inline>
            <wp:extent cx="3733800" cy="5535066"/>
            <wp:effectExtent b="0" l="0" r="0" t="0"/>
            <wp:docPr descr="Рис. 4: Отчет модели обслуживания в порту судов двух типов" title="" id="36" name="Picture"/>
            <a:graphic>
              <a:graphicData uri="http://schemas.openxmlformats.org/drawingml/2006/picture">
                <pic:pic>
                  <pic:nvPicPr>
                    <pic:cNvPr descr="image/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5350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Отчет модели обслуживания в порту судов двух типов</w:t>
      </w:r>
    </w:p>
    <w:bookmarkEnd w:id="38"/>
    <w:p>
      <w:pPr>
        <w:pStyle w:val="BodyText"/>
      </w:pPr>
      <w:r>
        <w:t xml:space="preserve">модельное время в начале моделирования:</w:t>
      </w:r>
      <w:r>
        <w:t xml:space="preserve"> </w:t>
      </w:r>
      <w:r>
        <w:rPr>
          <w:rStyle w:val="VerbatimChar"/>
        </w:rPr>
        <w:t xml:space="preserve">START TIME</w:t>
      </w:r>
      <w:r>
        <w:t xml:space="preserve">=0.0; абсолютное время или момент, когда счетчик завершений принял значение 0:</w:t>
      </w:r>
      <w:r>
        <w:t xml:space="preserve"> </w:t>
      </w:r>
      <w:r>
        <w:rPr>
          <w:rStyle w:val="VerbatimChar"/>
        </w:rPr>
        <w:t xml:space="preserve">END TIME</w:t>
      </w:r>
      <w:r>
        <w:t xml:space="preserve">=175200.0; количество блоков, использованных в текущей модели, к моменту завершения моделирования:</w:t>
      </w:r>
      <w:r>
        <w:t xml:space="preserve"> </w:t>
      </w:r>
      <w:r>
        <w:rPr>
          <w:rStyle w:val="VerbatimChar"/>
        </w:rPr>
        <w:t xml:space="preserve">BLOCKS</w:t>
      </w:r>
      <w:r>
        <w:t xml:space="preserve">=28; количество одноканальных устройств, использованных в модели к моменту завершения моделирования:</w:t>
      </w:r>
      <w:r>
        <w:t xml:space="preserve"> </w:t>
      </w:r>
      <w:r>
        <w:rPr>
          <w:rStyle w:val="VerbatimChar"/>
        </w:rPr>
        <w:t xml:space="preserve">FACILITIES</w:t>
      </w:r>
      <w:r>
        <w:t xml:space="preserve">=0; количество многоканальных устройств, использованных в текущей модели к моменту завершения моделирования:</w:t>
      </w:r>
      <w:r>
        <w:t xml:space="preserve"> </w:t>
      </w:r>
      <w:r>
        <w:rPr>
          <w:rStyle w:val="VerbatimChar"/>
        </w:rPr>
        <w:t xml:space="preserve">STORAGES</w:t>
      </w:r>
      <w:r>
        <w:t xml:space="preserve">=3. Имена, используемые в программе модели:</w:t>
      </w:r>
      <w:r>
        <w:t xml:space="preserve"> </w:t>
      </w:r>
      <w:r>
        <w:rPr>
          <w:rStyle w:val="VerbatimChar"/>
        </w:rPr>
        <w:t xml:space="preserve">TYPE1</w:t>
      </w:r>
      <w:r>
        <w:t xml:space="preserve">(первый тип судов),</w:t>
      </w:r>
      <w:r>
        <w:t xml:space="preserve"> </w:t>
      </w:r>
      <w:r>
        <w:rPr>
          <w:rStyle w:val="VerbatimChar"/>
        </w:rPr>
        <w:t xml:space="preserve">TYPE2</w:t>
      </w:r>
      <w:r>
        <w:t xml:space="preserve">(второй тип судов),</w:t>
      </w:r>
      <w:r>
        <w:t xml:space="preserve"> </w:t>
      </w:r>
      <w:r>
        <w:rPr>
          <w:rStyle w:val="VerbatimChar"/>
        </w:rPr>
        <w:t xml:space="preserve">PRCH1</w:t>
      </w:r>
      <w:r>
        <w:t xml:space="preserve">(первый тип причала),</w:t>
      </w:r>
      <w:r>
        <w:t xml:space="preserve"> </w:t>
      </w:r>
      <w:r>
        <w:rPr>
          <w:rStyle w:val="VerbatimChar"/>
        </w:rPr>
        <w:t xml:space="preserve">PRCH2</w:t>
      </w:r>
      <w:r>
        <w:t xml:space="preserve">(второй тип причала). Было сгенерировано 1345 заявок первого типа и 446 второго, а обработано 1339 и 365 соответственно. Полезность работы причалов составила 0,977. При этом среднее время занятости причалов составило 5,863 мин.</w:t>
      </w:r>
    </w:p>
    <w:bookmarkEnd w:id="39"/>
    <w:bookmarkEnd w:id="40"/>
    <w:bookmarkStart w:id="4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Реализовал модели обслуживания с приоритетами и провести анализ результатов.</w:t>
      </w:r>
    </w:p>
    <w:bookmarkEnd w:id="41"/>
    <w:bookmarkStart w:id="43" w:name="список-литературы"/>
    <w:p>
      <w:pPr>
        <w:pStyle w:val="Heading1"/>
      </w:pPr>
      <w:r>
        <w:t xml:space="preserve">Список литературы</w:t>
      </w:r>
    </w:p>
    <w:bookmarkStart w:id="42" w:name="refs"/>
    <w:bookmarkEnd w:id="42"/>
    <w:bookmarkEnd w:id="4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1" Target="media/rId31.png" /><Relationship Type="http://schemas.openxmlformats.org/officeDocument/2006/relationships/image" Id="rId35" Target="media/rId3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15</dc:title>
  <dc:creator>Королёв Иван</dc:creator>
  <dc:language>ru-RU</dc:language>
  <cp:keywords/>
  <dcterms:created xsi:type="dcterms:W3CDTF">2025-05-15T17:00:38Z</dcterms:created>
  <dcterms:modified xsi:type="dcterms:W3CDTF">2025-05-15T17:00:38Z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Математическое моделирование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