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ody>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E-R Diagram</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sz w:val="24"/>
          <w:szCs w:val="24"/>
        </w:rPr>
        <w:drawing>
          <wp:inline distB="114300" distT="114300" distL="114300" distR="114300">
            <wp:extent cx="5500688" cy="7945438"/>
            <wp:effectExtent b="0" l="0" r="0" t="0"/>
            <wp:docPr id="1" name="image2.jpg"/>
            <a:graphic>
              <a:graphicData uri="http://schemas.openxmlformats.org/drawingml/2006/picture">
                <pic:pic>
                  <pic:nvPicPr>
                    <pic:cNvPr id="0" name="image2.jpg"/>
                    <pic:cNvPicPr preferRelativeResize="0"/>
                  </pic:nvPicPr>
                  <pic:blipFill>
                    <a:blip r:embed="rId5"/>
                    <a:srcRect b="0" l="0" r="0" t="0"/>
                    <a:stretch>
                      <a:fillRect/>
                    </a:stretch>
                  </pic:blipFill>
                  <pic:spPr>
                    <a:xfrm>
                      <a:off x="0" y="0"/>
                      <a:ext cx="5500688" cy="7945438"/>
                    </a:xfrm>
                    <a:prstGeom prst="rect"/>
                    <a:ln/>
                  </pic:spPr>
                </pic:pic>
              </a:graphicData>
            </a:graphic>
          </wp:inline>
        </w:drawing>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b w:val="1"/>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Reasoning / Comments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480" w:lineRule="auto"/>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was great deal of trial and error when creating this E-R diagram. Initially, attempts to brute force the entire diagram, which led to much confusion. After creating a few sample tables, the general structure of the graph became clear.</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480" w:lineRule="auto"/>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480" w:lineRule="auto"/>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decision for the mandatory “IS A” relationship was to make the Sensors entity set from which particular devices such as GPS Sensors inherit. This is because not all Sensors are the same. Despite having a Unique Sensor ID, they do not share similar properties. For instance, some are cameras and some are location monitors. Thus, it appears logical for these individual devices to inherit from the Sensors entity set (because they are all Sensors) but have even more distinct attributes from whatever attributes the Sensors entity set contains. Not to mention, not all Image Sensors are the same. Some are from the back of a smartphone while others can be a fixed like a security camera. More importantly, different image cameras have different models (makes) and are produced from different companies.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480" w:lineRule="auto"/>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480" w:lineRule="auto"/>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Relationships in the diagram were relatively simple to figure out. Events cannot be constructed or exist without certain types of data being associated with them, such as image or gps data. Furthermore, they cannot exist without having been recorded by a sensor, which is a slight philosophical allegory to the statement: Did a tree fall down if nobody was around to see it? Furthermore, Sensor Platforms cannot exist without being located somewhere, and the same can be said for Sensors, for they too need to be from a Sensor Platform.</w:t>
      </w:r>
      <w:r w:rsidDel="00000000" w:rsidR="00000000" w:rsidRPr="00000000">
        <w:rPr>
          <w:rtl w:val="0"/>
        </w:rPr>
      </w:r>
    </w:p>
    <w:sectPr>
      <w:headerReference r:id="rId6" w:type="default"/>
      <w:headerReference r:id="rId7" w:type="first"/>
      <w:footerReference r:id="rId8" w:type="first"/>
      <w:pgSz w:h="15840" w:w="12240"/>
      <w:pgMar w:bottom="720" w:top="720" w:left="720" w:right="720" w:head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 w:name="Times New Roman"/>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ind w:left="5040" w:firstLine="0"/>
      <w:contextualSpacing w:val="0"/>
      <w:rPr>
        <w:rFonts w:ascii="Courier New" w:cs="Courier New" w:eastAsia="Courier New" w:hAnsi="Courier New"/>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ind w:left="5760" w:firstLine="0"/>
      <w:contextualSpacing w:val="0"/>
      <w:rPr>
        <w:rFonts w:ascii="Courier New" w:cs="Courier New" w:eastAsia="Courier New" w:hAnsi="Courier New"/>
      </w:rPr>
    </w:pPr>
    <w:r w:rsidDel="00000000" w:rsidR="00000000" w:rsidRPr="00000000">
      <w:rPr>
        <w:rFonts w:ascii="Courier New" w:cs="Courier New" w:eastAsia="Courier New" w:hAnsi="Courier New"/>
        <w:rtl w:val="0"/>
      </w:rPr>
      <w:t xml:space="preserve">Neilson Wong neilsonw@uci.edu 66536239</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ind w:left="5040" w:firstLine="720"/>
      <w:contextualSpacing w:val="0"/>
      <w:rPr>
        <w:rFonts w:ascii="Courier New" w:cs="Courier New" w:eastAsia="Courier New" w:hAnsi="Courier New"/>
      </w:rPr>
    </w:pPr>
    <w:r w:rsidDel="00000000" w:rsidR="00000000" w:rsidRPr="00000000">
      <w:rPr>
        <w:rFonts w:ascii="Courier New" w:cs="Courier New" w:eastAsia="Courier New" w:hAnsi="Courier New"/>
        <w:rtl w:val="0"/>
      </w:rPr>
      <w:t xml:space="preserve">Zhongce Xie  zhongcex@uci.edu 54491266</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ind w:left="5040" w:firstLine="720"/>
      <w:contextualSpacing w:val="0"/>
      <w:rPr/>
    </w:pPr>
    <w:r w:rsidDel="00000000" w:rsidR="00000000" w:rsidRPr="00000000">
      <w:rPr>
        <w:rFonts w:ascii="Courier New" w:cs="Courier New" w:eastAsia="Courier New" w:hAnsi="Courier New"/>
        <w:rtl w:val="0"/>
      </w:rPr>
      <w:t xml:space="preserve">Aaron Zhong  alzhong @uci.edu 67737879</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shd w:fill="auto" w:val="clear"/>
        <w:vertAlign w:val="baseline"/>
        <w:lang w:val="en"/>
      </w:rPr>
    </w:rPrDefault>
    <w:pPrDefault>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image" Target="media/image2.jp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