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MATRIZ DE ADQUISICIONES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elaboración de la matriz de adquisiciones deberá seguir los siguientes pasos: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1025"/>
        </w:tabs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Crear una lista completa de los bienes y servicios que requiere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Determinar el sistema de adquisición.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Asignar el porcentaje de la fuente de financiamiento para la adquisición.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Calcular un presupuesto estimado.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Fijar la fecha estimada de publicación de la adquisición.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Pautar la fecha de firma del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1025"/>
        </w:tabs>
        <w:spacing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Establecer la fecha estimada del término del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de adquisiciones se deberá resumir en el siguiente formato:</w:t>
      </w:r>
    </w:p>
    <w:p w:rsidR="00000000" w:rsidDel="00000000" w:rsidP="00000000" w:rsidRDefault="00000000" w:rsidRPr="00000000" w14:paraId="00000010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620"/>
        <w:gridCol w:w="1320"/>
        <w:gridCol w:w="2055"/>
        <w:gridCol w:w="1275"/>
        <w:gridCol w:w="1305"/>
        <w:gridCol w:w="1446"/>
        <w:tblGridChange w:id="0">
          <w:tblGrid>
            <w:gridCol w:w="1065"/>
            <w:gridCol w:w="1620"/>
            <w:gridCol w:w="1320"/>
            <w:gridCol w:w="2055"/>
            <w:gridCol w:w="1275"/>
            <w:gridCol w:w="1305"/>
            <w:gridCol w:w="14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Código EDT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Producto o 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Adquisición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Modalidad de adquisición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Presupuesto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Equipo capacitado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Licitación pública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$50.000,00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Planes completados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Licitación privada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1/2/2022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$50.000,00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Portal instalado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Bienes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Contratación directa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1/3/2022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$50.000,00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Contenido publicado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Administración directa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1/4 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$50.000,00</w:t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de adquisiciones dará pie a la elaboración del plan de adquisiciones del proyecto, el cual deberá incluir los siguientes elementos: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bienes y servicios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tipos de contratos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el proceso de aprobación del contrato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los criterios de decisión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A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2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3D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E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4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5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6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XtgGhRP2crwvLQ57VjXv8/BFg==">AMUW2mU7OYgB5r8JNKgmxZ5mJOewTjfJjLb+soxSNfNTkpR06VMXDMFoCmyusCEqIMd8zxW3mTXbHP7SRt42QVoOEqz61AiGrtodZ4wgN0LR0UzRjgVsxeBXqviVpe9BnS6s4z7Y2D4a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