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  <Override ContentType="application/vnd.openxmlformats-officedocument.wordprocessingml.header+xml" PartName="/word/header2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60"/>
        <w:jc w:val="left"/>
      </w:pPr>
      <w:r>
        <w:drawing>
          <wp:inline distT="0" distB="0" distL="0" distR="0">
            <wp:extent cx="1647825" cy="495300"/>
            <wp:effectExtent t="0" r="0" b="0" l="0"/>
            <wp:docPr id="1" name="logo" descr="Logo do profissional" title="Log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647825" cy="4953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/>
      </w:pPr>
      <w:r>
        <w:rPr>
          <w:rFonts w:ascii="Calibri" w:cs="Calibri" w:eastAsia="Calibri" w:hAnsi="Calibri"/>
          <w:b/>
          <w:bCs/>
          <w:color w:val="5B6472"/>
          <w:spacing w:val="40"/>
          <w:sz w:val="20"/>
          <w:szCs w:val="20"/>
        </w:rPr>
        <w:t xml:space="preserve">PROCEDIMENTO OPERACIONAL PADRÃO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6325C"/>
          <w:sz w:val="40"/>
          <w:szCs w:val="40"/>
        </w:rPr>
        <w:t xml:space="preserve">Uso da Avaliação Integrada de Saúde, Física e Funcional</w:t>
      </w:r>
    </w:p>
    <w:p>
      <w:pPr>
        <w:pBdr>
          <w:bottom w:val="single" w:color="C9A24D" w:sz="12" w:space="6"/>
        </w:pBdr>
        <w:spacing w:after="220"/>
      </w:pPr>
      <w:r>
        <w:rPr>
          <w:rFonts w:ascii="Calibri" w:cs="Calibri" w:eastAsia="Calibri" w:hAnsi="Calibri"/>
          <w:color w:val="5B6472"/>
          <w:sz w:val="24"/>
          <w:szCs w:val="24"/>
        </w:rPr>
        <w:t xml:space="preserve">Do cadastro do paciente ou aluno à devolutiva e à reavaliação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2519"/>
        <w:gridCol w:w="2300"/>
        <w:gridCol w:w="2519"/>
      </w:tblGrid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Código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POP-AVI-001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Versão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Data de emissão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Próxima revisão</w:t>
            </w:r>
          </w:p>
        </w:tc>
        <w:tc>
          <w:tcPr>
            <w:tcW w:type="dxa" w:w="2519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26/10/2027 ou antes, se o sistema mudar</w:t>
            </w:r>
          </w:p>
        </w:tc>
      </w:tr>
      <w:tr>
        <w:tc>
          <w:tcPr>
            <w:tcW w:type="dxa" w:w="2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F1F5F9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sz w:val="20"/>
                <w:szCs w:val="20"/>
              </w:rPr>
              <w:t xml:space="preserve">Elaboração e aprovação</w:t>
            </w:r>
          </w:p>
        </w:tc>
        <w:tc>
          <w:tcPr>
            <w:tcW w:type="dxa" w:w="7338"/>
            <w:gridSpan w:val="3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Leandro Lopes - Doutorado em Ciências da Saúde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1. Objetivo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Padronizar o modo de conduzir uma avaliação com o sistema de Avaliação Integrada, para que toda pessoa avaliada passe pelas mesmas etapas, na mesma ordem, com os mesmos cuidados de segurança e com registro completo, permitindo comparar as reavaliações.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2. Campo de aplicação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Aplica-se a toda avaliação de paciente ou aluno feita na clínica com o sistema, desde o primeiro contato até a reavaliação. A pessoa avaliada responde a anamnese (em casa pelo link, ou na clínica com o avaliador) e faz as medidas e os testes presencialmente.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3. Responsabilidades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7038"/>
      </w:tblGrid>
      <w:tr>
        <w:trPr>
          <w:cantSplit/>
          <w:tblHeader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Quem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Profissional avaliador (Leandro Lopes)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Conduz as medidas e os testes, decide a liberação para esforço, revisa e edita todos os pareceres, aprova o plano e assina os relatórios. É dele a responsabilidade pela avaliação e pelas condutas.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Assistentes de IA (Sofia, Marco, Paula, Rita, Caio, Íris, Theo, Clara, Nina)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Organizam dados, calculam, sugerem pareceres e alertas. São assistentes de IA, não médicos nem profissionais registrados. Só sugerem; quem decide é o profissional. A Nina coordena e vigia a segurança.</w:t>
            </w:r>
          </w:p>
        </w:tc>
      </w:tr>
      <w:tr>
        <w:trPr>
          <w:cantSplit/>
          <w:tblHeader w:val="off"/>
        </w:trPr>
        <w:tc>
          <w:tcPr>
            <w:tcW w:type="dxa" w:w="26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ou aluno</w:t>
            </w:r>
          </w:p>
        </w:tc>
        <w:tc>
          <w:tcPr>
            <w:tcW w:type="dxa" w:w="70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Responde a anamnese com sinceridade, informa sintomas, autoriza o uso dos dados e das fotos, e interrompe qualquer teste se sentir mal-estar.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4. Siglas usadas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438"/>
      </w:tblGrid>
      <w:tr>
        <w:trPr>
          <w:cantSplit/>
          <w:tblHeader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Sigla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Significado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 de prontidão para atividade física (6 perguntas iniciais)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 / FC / SpO₂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Pressão arterial / frequência cardíaca / saturação de oxigênio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IMC, RCQ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Índice de massa corporal; relação cintura-quadril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%G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Percentual de gordura corporal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BIA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Bioimpedância elétrica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TUG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Timed Up and Go (levantar, caminhar 3 m e voltar a sentar)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TC6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Teste de caminhada de 6 minutos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IPAQ, PSQI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Questionários de atividade física e de qualidade do sono (módulos opcionais)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Borg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Escala de percepção subjetiva de esforço (6 a 20)</w:t>
            </w:r>
          </w:p>
        </w:tc>
      </w:tr>
      <w:tr>
        <w:trPr>
          <w:cantSplit/>
          <w:tblHeader w:val="off"/>
        </w:trPr>
        <w:tc>
          <w:tcPr>
            <w:tcW w:type="dxa" w:w="2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</w:t>
            </w:r>
          </w:p>
        </w:tc>
        <w:tc>
          <w:tcPr>
            <w:tcW w:type="dxa" w:w="7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Alta, média ou baixa, conforme quantos dos 10 domínios do painel ainda não têm dado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5. Materiais e equipamentos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 IA nunca presume que um instrumento existe: confirme o que a clínica tem antes de escolher o protocolo.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Essenciais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Computador ou tablet com acesso ao sistema e login de avaliador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Balança calibrada; estadiômetro (ou fita métrica fixada na parede); fita antropométrica inextensível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Esfigmomanômetro validado (e estetoscópio, se aneroide); frequencímetro ou cronômetro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(celular serve), tripé e fita métrica para marcar a distância no chão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Cadeira sem apoio de braço e cadeira com apoio de braço, de altura padrão; cronômetro; cones; fita para marcar percurso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Termo de consentimento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Recomendados e opcionais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Oxímetro de pulso; adipômetro; dinamômetro manual; escala de Borg; goniômetro; corredor de 20 a 30 m para o TC6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Simetrógrafo, prumo, marcadores adesivos; balança de bioimpedância; banco de Wells; esteira (protocolos de Bruce e de rampa)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6. Regras de segurança e de integridade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 IA sugere, o profissional decide.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Nenhum parecer, alerta ou plano vale sem a conferência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Não é diagnóstico.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faz triagem e apoio à decisão. Nunca comunique ao paciente um risco ou diagnóstico a partir de um alerta sem decisão do profissional.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Liberação antes do esforço.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Testes físicos, funcionais e cardiorrespiratórios só começam depois da triagem da Nina (etapa 4). Dor no peito ou tontura com perda de consciência no PAR-Q+ pedem liberação médica antes de testes de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Interrompa o teste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diante de dor no peito, falta de ar desproporcional, tontura importante, palidez ou suor frio excessivo, queda relevante da SpO₂ ou qualquer sinal que você julgue de risco. A decisão é sua,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Alertas por nível.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Nível 1 observação; 2 atenção; 3 precaução ativa (bloqueia a etapa até decisão registrada); 4 encaminhamento recomendado (bloqueia o avanço e orienta o encaminhamento).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Confidencialidade.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São dados de saúde. Envie relatórios só a quem for autorizado e confira o número antes de enviar pelo WhatsApp. As fotos e os vídeos são analisados no próprio aparelho e não vão para serviços de IA.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Dados reais. 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Não use dados de teste na base de produção. Se precisar treinar, use um paciente fictício e apague-o depois.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7. Procedimento passo a passo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tempos são </w:t>
      </w:r>
      <w:r>
        <w:rPr>
          <w:rFonts w:ascii="Calibri" w:cs="Calibri" w:eastAsia="Calibri" w:hAnsi="Calibri"/>
          <w:b/>
          <w:bCs/>
          <w:color w:val="1F2937"/>
          <w:sz w:val="22"/>
          <w:szCs w:val="22"/>
        </w:rPr>
        <w:t xml:space="preserve">estimativas</w:t>
      </w:r>
      <w:r>
        <w:rPr>
          <w:rFonts w:ascii="Calibri" w:cs="Calibri" w:eastAsia="Calibri" w:hAnsi="Calibri"/>
          <w:color w:val="1F2937"/>
          <w:sz w:val="22"/>
          <w:szCs w:val="22"/>
        </w:rPr>
        <w:t xml:space="preserve"> para planejar a agenda; ajuste-os à sua rotina. A anamnese e a devolutiva têm o tempo do próprio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1 - Pré-atendimento e agendamento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Antes da visita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Combine a data e envie o link do sistema (página inicial, opção "Sou paciente / aluno"). O paciente entra com nome completo e data de nascimento.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Oriente o preparo: sem cafeína, exercício ou tabaco nos 30 minutos antes (afeta a pressão), roupa confortável para se movimentar e para as fotos, e levar a lista de medicamentos.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2 - Recepção e consentimento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Acolha a pessoa, explique em poucas frases o que será feito e colha o termo de consentimento, incluindo o uso das fotos.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Confirme se o telefone está correto: o WhatsApp da devolutiva depende dele.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3 - Anamnese (Sofia)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min; módulos 2 a 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a pessoa ainda não respondeu em casa: no sistema, entre como avaliador, clique em "+ Novo paciente" e escolha a anamnese na clínica. As perguntas aparecem em terceira pessoa, para você ler em entrevista, ou entregue o aparelho. Em paciente já cadastrado, use "Fazer / Continuar / Rever a anamnese" na aba Anamnese.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questionário base tem 7 etapas, com o PAR-Q+. Ao final, ofereça os módulos opcionais: bem-estar emocional, sono, dor, estilo de vida e, a partir de 60 anos, visão, audição e memória. Os módulos sugeridos pelas respostas vêm destacados.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Confira na lista de pacientes a coluna "Avaliação": ela mostra quem concluiu a anamnese e ainda não tem avaliação, para ninguém ficar esperando.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4 - Triagem e liberação (Nina)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2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abrir a ficha do aluno, leia o quadro "Para o treino: o que foi dito na anamnese", logo abaixo dos alertas. Ele reúne o que ajuda a prescrever: objetivo e motivação; segurança e saúde (PAR-Q+, liberação para esforço, condições citadas, medicamentos, cirurgias, lesões, quedas); dor por região, com intensidade e o que piora; experiência de treino; rotina, tempo disponível e o que atrapalha; sono, estresse e hábitos. Só aparece o que foi respondido, e o que merece cuidado vem em laranja ou vermelho.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No fim do quadro, o bloco dourado "Perguntar agora" lista o que falta na anamnese e muda o treino (objetivo, tempo disponível, treino atual, dor, lesões, medicamentos). Pergunte ao aluno na hora.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os alertas no alto da ficha: cada alerta de prontidão diz quais itens do PAR-Q+ foram positivos.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Cardiorrespiratória: o quadro de liberação mostra a sugestão (pode seguir, cautela, liberação médica recomendada ou necessária) e os motivos, conforme o PAR-Q+, a doença conhecida e o nível de atividade física. A decisão é sua e deve ficar registrada.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Com sintomas ou doença conhecida, peça liberação médica antes de testes de esforço e de esforço vigoroso.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5 - Sinais vitais de repouso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Física e Antropométrica. Paciente sentado em repouso por 5 minutos antes da medida.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a pressão arterial (mínimo de 2 medidas, com 1 a 2 minutos entre elas; se diferirem muito, faça a terceira), a frequência cardíaca de repouso e, se tiver oxímetro, a SpO₂.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Pressão ou frequência muito alteradas: não avance para esforço; registre e decida a conduta.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6 - Peso e altura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3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Pese com a balança calibrada, sem calçado e com roupa leve; meça a altura no estadiômetro. O IMC e a classificação são calculados pelo sistema.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7 - Circunferências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5 a 15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Meça com a fita inextensível, sem apertar a pele, sempre nos mesmos pontos. Faça só as que o caso pede.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Tronco: ombro, peitoral, tórax (inspiração máxima e mínima), cintura, abdômen e quadril.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Membros, lado direito e lado esquerdo: braço, antebraço, coxa (proximal, média e distal) e panturrilha.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a relação cintura-quadril, a relação cintura-estatura, a expansibilidade do tórax e a diferença entre os lados.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8 - Composição corporal (Marco)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3 a 15 min (BIA 3 a 5; dobras 10 a 15)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 o método conforme o equipamento e a pessoa: dobras cutâneas ou bioimpedância. O sistema sugere o protocolo, mas a escolha é sua.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Dobras (adipômetro), até 9 locais: tríceps, bíceps, subescapular, suprailíaca, abdominal, peitoral, axilar média, coxa e panturrilha medial. Protocolos de 3 ou 7 dobras e Faulkner de 4.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Bioimpedância: registre aparelho e modelo, % de gordura, massa magra, massa gorda e água corporal; siga o preparo do fabricante.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 sistema calcula %G, gordura excedente, massa magra e a meta de recomposição muscular.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9 - Postura e movimento (Paula)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12 a 15 min no modo simples; 20 a 30 min com o modo avançado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Postural e Biomecânica. O modo simples já vem ligado: três fotos com a análise automática dos graus, uma lista curta do que você viu e dois testes de movimento (em foto ou vídeo). Aluno descalço, com roupa que deixe ver os pontos de referência, e com o consentimento registrado.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Câmera no tripé, na altura aproximada do quadril, sempre na mesma distância (marque o ponto no chão com fita). Faça 3 fotos: de frente, de costas e de lado (lateral direita).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Ao enviar cada foto, o sistema analisa sozinho, no seu computador (a foto não vai a nenhum serviço de IA), e mostra os graus: ombros, quadris, cabeça, tronco, joelhos e linha de prumo. Os cortes de 3° (discreta) e 6° (evidente) são referências práticas do sistema, sem validação publicada. Confira os pontos na foto.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Em "O que você viu nas fotos", o sistema já sugere, em dourado e com o selo "sugerido", o que achou nos graus. Aceite uma a uma ou use "Aceitar todas as sugestões", e marque o que mais você viu. Se não notar nada, marque "Nada de relevante nesta vista". Nada vale sem o seu ok. Assimetrias leves são comuns e, sozinhas, não indicam problema.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Movimentos: peça o agachamento e a flexão de tronco e registre o ponto máximo em foto ou em vídeo, de lado e de frente (ou de costas, na flexão). Ao enviar, o sistema pré-marca o ângulo na foto (por exemplo, o do joelho no agachamento): confirme com "Está certo, confirmar" ou refaça à mão. Enquanto não confirmar, a medida não entra no parecer. Marque o roteiro de cada vista e, na flexão, a distância dedos-chão.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usar vídeo, filme como nos desenhos (5 a 30 segundos, câmera parada, corpo inteiro no quadro). O sistema diz se o vídeo foi adequado para leitura e mostra a margem de erro dos ângulos.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Leia o parecer da Dra. Paula, que é curto: o que foi visto, os movimentos e a "Atenção na execução do treino". São pontos de observação, não prescrição nem promessa de corrigir a postura. Edite o que quiser.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Nas reavaliações use exatamente a mesma distância, altura da câmera e posição: sem isso a comparação não vale.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Modo avançado (opcional): o botão "Mostrar modo avançado" traz a lateral esquerda, a marcação das escápulas e os movimentos elevação dos braços, extensão e inclinação lateral. Use só quando houver um motivo. A ficha que já tem esses registros abre sozinha no avançado.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Fotos de referência (esquemas)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847975"/>
            <wp:effectExtent t="0" r="0" b="0" l="0"/>
            <wp:docPr id="2" name="vistas.png" descr="Esquema das quatro vistas" title="Esquema das quatro vista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847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1 - As vistas padronizadas. No modo simples usam-se as três primeiras (de frente, de costas e de lado, a lateral direita); a lateral esquerda é do modo avançado.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6096000" cy="2571750"/>
            <wp:effectExtent t="0" r="0" b="0" l="0"/>
            <wp:docPr id="3" name="montagem.png" descr="Montagem do local para as fotos" title="Montagem do local para as fot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096000" cy="2571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2 - Montagem do local, vista de lado: câmera no tripé na altura do quadril, marca no chão para o paciente e para o tripé, mesma distância em todas as sessões.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Os dois movimentos do modo simples (esquemas)</w:t>
      </w:r>
    </w:p>
    <w:p>
      <w:pPr>
        <w:keepNext/>
        <w:spacing w:after="80"/>
      </w:pPr>
      <w:r>
        <w:rPr>
          <w:rFonts w:ascii="Calibri" w:cs="Calibri" w:eastAsia="Calibri" w:hAnsi="Calibri"/>
          <w:color w:val="1F2937"/>
          <w:sz w:val="20"/>
          <w:szCs w:val="20"/>
        </w:rPr>
        <w:t xml:space="preserve">Foto ou vídeo no ponto máximo do movimento, de lado e de frente (ou de costas, na flexão), com a câmera parada e o aluno dos pés à cabeça no quadro. Peça para ir só até onde conseguir manter o controle e sem dor.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4" name="mov1.png" descr="Agachamento" title="Agachamen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3 - Agachamento: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5" name="mov2.png" descr="Flexão de tronco" title="Flex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4 - Flexão de tronco: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Movimentos do modo avançado (opcionais)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6" name="mov3.png" descr="Elevação dos braços" title="Elevação dos braços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5 - Elevação dos braços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7" name="mov4.png" descr="Extensão de tronco" title="Extensão de tronc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6 - Extensão de tronco (modo avançado): início e ponto máximo, de lado e de frente (ou de costas). Esquema ilustrativo.</w:t>
      </w:r>
    </w:p>
    <w:p>
      <w:pPr>
        <w:keepNext/>
        <w:spacing w:after="40" w:before="120"/>
        <w:jc w:val="center"/>
      </w:pPr>
      <w:r>
        <w:drawing>
          <wp:inline distT="0" distB="0" distL="0" distR="0">
            <wp:extent cx="5715000" cy="2286000"/>
            <wp:effectExtent t="0" r="0" b="0" l="0"/>
            <wp:docPr id="8" name="mov5.png" descr="Inclinação lateral" title="Inclinação lateral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2286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cs="Calibri" w:eastAsia="Calibri" w:hAnsi="Calibri"/>
          <w:i/>
          <w:iCs/>
          <w:color w:val="5B6472"/>
          <w:sz w:val="18"/>
          <w:szCs w:val="18"/>
        </w:rPr>
        <w:t xml:space="preserve">Figura 7 - Inclinação lateral (modo avançado): início e ponto máximo, de lado e de frente (ou de costas). Esquema ilustrativo.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10 - Funcional (Rita)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30 min, conforme o perfil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Avaliação Funcional e escolha os testes pelo perfil da pessoa (idoso ou com risco de queda, sedentário, treinado, com dor persistente, pós-cirúrgico). Não é preciso fazer todos.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Força: levantar da cadeira (30 s e 5 vezes), preensão manual direita e esquerda, flexão de braço, Arm Curl, RM submáximo ou repetições até a falha.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Equilíbrio e marcha: TUG, apoio unipodal direito e esquerdo, velocidade da marcha e caminhada de 6 minutos (corredor marcado, repouso sentado de 10 minutos antes).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Mobilidade: goniometria (ombro, cotovelo, quadril, joelho, tornozelo e coluna cervical), rotações de quadril, torácica e cervical, Thomas modificado, dorsiflexão com carga e Y-Balance.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Flexibilidade: sentar e alcançar (no chão ou na cadeira) e Back Scratch. Controle motor: agachamento livre e prancha.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Pergunte o esforço pela escala de Borg quando couber e use o oxímetro nos testes de esforço. Evite testes que reproduzam a dor sem necessidade.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11 - Cardiorrespiratória (Caio)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25 min, só se liberado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apenas com a liberação da etapa 4. Registre antes a FC de repouso e a pressão.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Escolha: esteira com o protocolo de Bruce (7 estágios de 3 minutos), esteira com rampa de velocidade até a exaustão, ou teste de Cooper de 12 minutos. Em sedentário, prefira o protocolo submáximo no início.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FC máxima, pressão após o teste, esforço (Borg) e o tempo ou a distância. O sistema estima o VO₂máx, a FC de reserva (Karvonen) e o gasto.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Se houver dúvida sobre segurança, não faça o teste máximo.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12 - Integração e supervisão (Íris e Nina)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Automática; sua leitura ≈ 10 min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a aba Perfil Integrado. Leia o painel de 10 domínios e a Confiança do perfil. Se estiver média ou baixa, o quadro lista o que falta registrar: complete antes de concluir.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Abra Condições de saúde para ver as condições que a anamnese indicou, com explicação em tópicos. Os textos escritos por IA ainda não foram todos revisados clinicamente: confirme com a sua avaliação.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Veja o painel de supervisão da Nina e resolva o que ela marcar para conferir.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13 - Plano de ação (Theo)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≈ 10 a 15 min de revisão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aba Plano de Intervenção, revise item a item o plano em 30, 60, 90 dias e 12 meses, os serviços e os encaminhamentos. Aprove, edite, mova de horizonte ou discorde (o motivo fica registrado).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Antes de aprovar, releia o quadro "Para o treino": o plano precisa caber no tempo disponível, considerar o que atrapalha o aluno, a dor e as lesões, e partir da experiência de treino que ele já tem.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Só o que você aprovou entra nos documentos do paciente.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14 - Relatórios e devolutiva (Clara)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15 a 20 min com o paciente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ficha, use "Ver relatório técnico" (para o profissional ou para outro profissional), "Ver versão para o paciente" (linguagem simples) e "Apresentar ao paciente (slides)".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gerar o PDF, abra o documento e clique em "Imprimir / Salvar PDF". Todos saem com a sua logo e a assinatura "Leandro Lopes - Doutorado em Ciências da Saúde".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Para o WhatsApp, use o campo de envio na própria tela: confira o número, leia a mensagem e aperte enviar no WhatsApp. O link leva só texto; anexe o PDF à conversa.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Faça a devolutiva conversando: como a pessoa está hoje, o que vamos fazer e o próximo passo. Combine a data de início.</w:t>
      </w:r>
    </w:p>
    <w:p>
      <w:pPr>
        <w:pStyle w:val="Heading2"/>
        <w:keepNext/>
        <w:spacing w:after="80" w:before="200"/>
      </w:pPr>
      <w:r>
        <w:rPr>
          <w:rFonts w:ascii="Calibri" w:cs="Calibri" w:eastAsia="Calibri" w:hAnsi="Calibri"/>
          <w:b/>
          <w:bCs/>
          <w:color w:val="1F2937"/>
          <w:sz w:val="24"/>
          <w:szCs w:val="24"/>
        </w:rPr>
        <w:t xml:space="preserve">Etapa 15 - Reavaliação</w:t>
      </w:r>
    </w:p>
    <w:p>
      <w:pPr>
        <w:keepNext/>
        <w:spacing w:after="60"/>
      </w:pPr>
      <w:r>
        <w:rPr>
          <w:rFonts w:ascii="Calibri" w:cs="Calibri" w:eastAsia="Calibri" w:hAnsi="Calibri"/>
          <w:b/>
          <w:bCs/>
          <w:color w:val="5B6472"/>
          <w:sz w:val="20"/>
          <w:szCs w:val="20"/>
        </w:rPr>
        <w:t xml:space="preserve">Tempo médio estimado: </w:t>
      </w:r>
      <w:r>
        <w:rPr>
          <w:rFonts w:ascii="Calibri" w:cs="Calibri" w:eastAsia="Calibri" w:hAnsi="Calibri"/>
          <w:color w:val="5B6472"/>
          <w:sz w:val="20"/>
          <w:szCs w:val="20"/>
        </w:rPr>
        <w:t xml:space="preserve">Igual ao tempo de cada etapa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Repita as medidas e os testes nas mesmas condições (mesmo horário aproximado, mesmo protocolo, mesmos pontos, mesma câmera). Na aba Reavaliação veja antes, atual e meta por indicador.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Use "Salvar" ao fim de cada área: o que você digita é guardado como rascunho, mas só o botão Salvar registra a avaliação no histórico usado na comparação.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8. Situações especiais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6438"/>
      </w:tblGrid>
      <w:tr>
        <w:trPr>
          <w:cantSplit/>
          <w:tblHeader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Situação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O que fazer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Alerta de nível 3 ou 4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avance na etapa relacionada. Decida e registre. Nível 4: oriente o encaminhamento; o aviso ao paciente é seu, nunca automático.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PAR-Q+ com sintomas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Peça liberação médica antes de qualquer teste de esforço. Faça só o que não provoca sintomas (por exemplo, medidas e fotos).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com "Perguntar agora"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anamnese não traz algo que muda o treino. Pergunte ao aluno na hora e registre com o botão "Continuar a anamnese", na aba Anamnese: a resposta passa a aparecer no quadro.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Aluno com dor, lesão ou assimetria marcada nas fotos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conclua que a postura causa a dor. Registre o que viu e, no movimento, onde dói e em qual momento; siga a liberação e os sinais de alerta. Dor com sinal de alerta ou limitação importante: encaminhe.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Paciente não terminou a anamnese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A coluna "Avaliação" mostra "aguarda anamnese". Reenvie o link ou conclua na clínica com o botão "Continuar a anamnese".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Confiança do perfil baixa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Faltam dados em 6 ou mais domínios. Abra o quadro na aba Perfil Integrado e complete o que ele lista. Não é sinal de que a pessoa está mal.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Instrumento que a clínica não tem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Use a alternativa prevista (por exemplo, fita na parede no lugar do estadiômetro; dobras no lugar da bioimpedância) e registre a limitação.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Vídeo de movimento inadequado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O sistema indica o porquê (luz, enquadramento, corpo cortado). Refaça com o mesmo enquadramento e anote a margem de erro.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Valores muito diferentes do esperado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Repita a medida. Um teste isolado não decide conduta: cruze com os outros e com a anamnese.</w:t>
            </w:r>
          </w:p>
        </w:tc>
      </w:tr>
      <w:tr>
        <w:trPr>
          <w:cantSplit/>
          <w:tblHeader w:val="off"/>
        </w:trPr>
        <w:tc>
          <w:tcPr>
            <w:tcW w:type="dxa" w:w="32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Erro ou dúvida no sistema</w:t>
            </w:r>
          </w:p>
        </w:tc>
        <w:tc>
          <w:tcPr>
            <w:tcW w:type="dxa" w:w="64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Não improvise dados. Anote o que ocorreu e avise quem mantém o sistema; o rascunho fica guardado.</w:t>
            </w:r>
          </w:p>
        </w:tc>
      </w:tr>
    </w:tbl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9. Registro e rastreabilidade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Tudo o que é digitado fica guardado sozinho como rascunho, e o botão Salvar registra a avaliação no histórico.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Fotos e vídeos ficam num espaço privado do sistema; só quem tem login de avaliador acessa.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relatórios mostram a data de geração e se cada parecer foi revisado.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Registre a decisão sobre liberação e sobre alertas, e o motivo quando discordar do plano sugerido.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10. Tempo total estimado</w:t>
      </w:r>
    </w:p>
    <w:p>
      <w:pPr>
        <w:spacing w:after="100" w:line="276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Na clínica, sem contar a anamnese em casa e a devolutiva, as etapas de recepção e de coleta (2 e 5 a 11) somam de cerca de 1 hora a 2 horas, conforme os testes escolhidos e o modo da postura (simples ou avançado). A devolutiva leva de 15 a 20 minutos. Esses números devem ser confirmados com a sua rotina nas primeiras avaliações.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11. Referências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Documentos de especificação do projeto (arquitetura geral, anamnese, física e antropométrica, postural, funcional, integração, plano, relatório e devolutiva, lista mestre de instrumentos).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Riebe D, et al. Updating ACSM's recommendations for exercise preparticipation health screening. Med Sci Sports Exerc 2015;47:2473 (PMID 26473759): base da lógica de liberação para esforço.</w:t>
      </w:r>
    </w:p>
    <w:p>
      <w:pPr>
        <w:pStyle w:val="ListParagraph"/>
        <w:numPr>
          <w:ilvl w:val="0"/>
          <w:numId w:val="2"/>
        </w:numPr>
        <w:spacing w:after="60" w:line="264"/>
      </w:pPr>
      <w:r>
        <w:rPr>
          <w:rFonts w:ascii="Calibri" w:cs="Calibri" w:eastAsia="Calibri" w:hAnsi="Calibri"/>
          <w:color w:val="1F2937"/>
          <w:sz w:val="22"/>
          <w:szCs w:val="22"/>
        </w:rPr>
        <w:t xml:space="preserve">Os valores de referência de cada teste e as fontes de cada cálculo estão na aba Estudos do sistema, com a busca no PubMed.</w:t>
      </w:r>
    </w:p>
    <w:p>
      <w:pPr>
        <w:pStyle w:val="Heading1"/>
        <w:keepNext/>
        <w:spacing w:after="120" w:before="32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12. Histórico de revisões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2000"/>
        <w:gridCol w:w="6338"/>
      </w:tblGrid>
      <w:tr>
        <w:trPr>
          <w:cantSplit/>
          <w:tblHeader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Versão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Data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shd w:fill="0B1F40" w:color="auto" w:val="clear"/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Alteração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1.0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24/10/2026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Emissão inicial. Tempos por etapa são estimativas a confirmar.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1.1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25/10/2026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Quadro "Para o treino" (resumo da anamnese ao abrir a ficha); guia de filmagem dos movimentos; nova identidade visual em azul-marinho e dourado.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1.2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Postura e movimento em modo simples (3 fotos, lista curta e 2 movimentos; 10 a 12 min); modo avançado opcional; tempo total e organograma atualizados.</w:t>
            </w:r>
          </w:p>
        </w:tc>
      </w:tr>
      <w:tr>
        <w:trPr>
          <w:cantSplit/>
          <w:tblHeader w:val="off"/>
        </w:trPr>
        <w:tc>
          <w:tcPr>
            <w:tcW w:type="dxa" w:w="13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1.3</w:t>
            </w:r>
          </w:p>
        </w:tc>
        <w:tc>
          <w:tcPr>
            <w:tcW w:type="dxa" w:w="2000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26/10/2026</w:t>
            </w:r>
          </w:p>
        </w:tc>
        <w:tc>
          <w:tcPr>
            <w:tcW w:type="dxa" w:w="6338"/>
            <w:tcBorders>
              <w:top w:val="single" w:color="BFC5CE" w:sz="4"/>
              <w:left w:val="single" w:color="BFC5CE" w:sz="4"/>
              <w:bottom w:val="single" w:color="BFC5CE" w:sz="4"/>
              <w:right w:val="single" w:color="BFC5CE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  <w:vAlign w:val="top"/>
          </w:tcPr>
          <w:p>
            <w:pPr>
              <w:spacing w:after="40" w:line="252"/>
            </w:pPr>
            <w:r>
              <w:rPr>
                <w:rFonts w:ascii="Calibri" w:cs="Calibri" w:eastAsia="Calibri" w:hAnsi="Calibri"/>
                <w:sz w:val="20"/>
                <w:szCs w:val="20"/>
              </w:rPr>
              <w:t xml:space="preserve">Modo simples da postura passa a ter a análise automática dos graus, marcações sugeridas para confirmar, vídeo e ângulo pré-marcado nos movimentos (12 a 15 min).</w:t>
            </w:r>
          </w:p>
        </w:tc>
      </w:tr>
    </w:tbl>
    <w:p>
      <w:pPr>
        <w:sectPr>
          <w:headerReference w:type="default" r:id="rId6"/>
          <w:footerReference w:type="default" r:id="rId7"/>
          <w:pgSz w:w="11906" w:h="16838" w:orient="portrait"/>
          <w:pgMar w:top="1300" w:right="1134" w:bottom="1134" w:left="1134" w:header="600" w:footer="500" w:gutter="0"/>
          <w:pgNumType/>
          <w:docGrid w:linePitch="360"/>
        </w:sectPr>
      </w:pPr>
    </w:p>
    <w:p>
      <w:pPr>
        <w:pStyle w:val="Heading1"/>
        <w:spacing w:after="60" w:before="0"/>
      </w:pPr>
      <w:r>
        <w:rPr>
          <w:rFonts w:ascii="Calibri" w:cs="Calibri" w:eastAsia="Calibri" w:hAnsi="Calibri"/>
          <w:b/>
          <w:bCs/>
          <w:color w:val="16325C"/>
          <w:sz w:val="28"/>
          <w:szCs w:val="28"/>
        </w:rPr>
        <w:t xml:space="preserve">Anexo - Organograma de leitura rápida</w:t>
      </w:r>
    </w:p>
    <w:p>
      <w:pPr>
        <w:spacing w:after="100"/>
      </w:pPr>
      <w:r>
        <w:rPr>
          <w:rFonts w:ascii="Calibri" w:cs="Calibri" w:eastAsia="Calibri" w:hAnsi="Calibri"/>
          <w:color w:val="5B6472"/>
          <w:sz w:val="20"/>
          <w:szCs w:val="20"/>
        </w:rPr>
        <w:t xml:space="preserve">Siga de cima para baixo. A etapa 4 é a trava: sem ela, nenhum teste de esforço. Tempos são estimativas.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9"/>
        <w:gridCol w:w="2410"/>
        <w:gridCol w:w="2409"/>
        <w:gridCol w:w="2410"/>
      </w:tblGrid>
      <w:tr>
        <w:tc>
          <w:tcPr>
            <w:tcW w:type="dxa" w:w="2409"/>
            <w:tcBorders>
              <w:top w:val="single" w:color="16325C" w:sz="4"/>
              <w:left w:val="single" w:color="16325C" w:sz="4"/>
              <w:bottom w:val="single" w:color="16325C" w:sz="4"/>
              <w:right w:val="single" w:color="16325C" w:sz="4"/>
            </w:tcBorders>
            <w:shd w:fill="E8EDF6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Coleta de dados</w:t>
            </w:r>
          </w:p>
        </w:tc>
        <w:tc>
          <w:tcPr>
            <w:tcW w:type="dxa" w:w="2410"/>
            <w:tcBorders>
              <w:top w:val="single" w:color="C9A24D" w:sz="4"/>
              <w:left w:val="single" w:color="C9A24D" w:sz="4"/>
              <w:bottom w:val="single" w:color="C9A24D" w:sz="4"/>
              <w:right w:val="single" w:color="C9A24D" w:sz="4"/>
            </w:tcBorders>
            <w:shd w:fill="FBF4E3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Texto e plano</w:t>
            </w:r>
          </w:p>
        </w:tc>
        <w:tc>
          <w:tcPr>
            <w:tcW w:type="dxa" w:w="2409"/>
            <w:tcBorders>
              <w:top w:val="single" w:color="A04F00" w:sz="4"/>
              <w:left w:val="single" w:color="A04F00" w:sz="4"/>
              <w:bottom w:val="single" w:color="A04F00" w:sz="4"/>
              <w:right w:val="single" w:color="A04F00" w:sz="4"/>
            </w:tcBorders>
            <w:shd w:fill="FDECDD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Decisão sua</w:t>
            </w:r>
          </w:p>
        </w:tc>
        <w:tc>
          <w:tcPr>
            <w:tcW w:type="dxa" w:w="2410"/>
            <w:tcBorders>
              <w:top w:val="single" w:color="5F5E5A" w:sz="4"/>
              <w:left w:val="single" w:color="5F5E5A" w:sz="4"/>
              <w:bottom w:val="single" w:color="5F5E5A" w:sz="4"/>
              <w:right w:val="single" w:color="5F5E5A" w:sz="4"/>
            </w:tcBorders>
            <w:shd w:fill="F1EFE8" w:color="auto" w:val="clear"/>
            <w:tcMar>
              <w:top w:type="dxa" w:w="40"/>
              <w:left w:type="dxa" w:w="80"/>
              <w:bottom w:type="dxa" w:w="40"/>
              <w:right w:type="dxa" w:w="80"/>
            </w:tcMar>
          </w:tcPr>
          <w:p>
            <w:pPr>
              <w:spacing w:after="0"/>
              <w:jc w:val="center"/>
            </w:pPr>
            <w:r>
              <w:rPr>
                <w:rFonts w:ascii="Calibri" w:cs="Calibri" w:eastAsia="Calibri" w:hAnsi="Calibri"/>
                <w:b/>
                <w:bCs/>
                <w:color w:val="1F2937"/>
                <w:sz w:val="18"/>
                <w:szCs w:val="18"/>
              </w:rPr>
              <w:t xml:space="preserve">Clínica</w:t>
            </w:r>
          </w:p>
        </w:tc>
      </w:tr>
    </w:tbl>
    <w:p>
      <w:pPr>
        <w:spacing w:after="80"/>
      </w:pP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60"/>
        <w:gridCol w:w="3000"/>
        <w:gridCol w:w="4278"/>
        <w:gridCol w:w="1800"/>
      </w:tblGrid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Pré-atendimento e agendamento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Combinar data, enviar link, orientar preparo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Antes da visita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2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Recepção e consentimento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Recepção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Acolher e colher o termo de consentimento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Anamnese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Sofia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Questionário base com PAR-Q+; módulos opcionais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4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Triagem e liberação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alertas e o quadro Para o treino; decidir se pode fazer testes físicos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Automática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5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Sinais vitais de repouso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Pressão (2 medidas), FC de repouso, SpO₂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6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Peso e altura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Balança e estadiômetro; IMC calculado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3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7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Circunferências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Tronco (ombro a quadril) e membros D e E (braço, antebraço, coxa, panturrilha)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5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8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Composição corporal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Marco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Dobras cutâneas (até 9 locais) ou bioimpedância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3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9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Postura e movimento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Paula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3 fotos com graus automáticos, marcações sugeridas, agachamento e flexão (foto ou vídeo)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12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10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Funcional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Rita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Força, equilíbrio e marcha, mobilidade, flexibilidade, controle motor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30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11</w:t>
            </w:r>
          </w:p>
        </w:tc>
        <w:tc>
          <w:tcPr>
            <w:tcW w:type="dxa" w:w="30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Cardiorrespiratória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Caio</w:t>
            </w:r>
          </w:p>
        </w:tc>
        <w:tc>
          <w:tcPr>
            <w:tcW w:type="dxa" w:w="4278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Bruce, rampa ou Cooper; só se a Nina liberou</w:t>
            </w:r>
          </w:p>
        </w:tc>
        <w:tc>
          <w:tcPr>
            <w:tcW w:type="dxa" w:w="1800"/>
            <w:tcBorders>
              <w:top w:val="single" w:color="16325C" w:sz="6"/>
              <w:left w:val="single" w:color="16325C" w:sz="6"/>
              <w:bottom w:val="single" w:color="16325C" w:sz="6"/>
              <w:right w:val="single" w:color="16325C" w:sz="6"/>
            </w:tcBorders>
            <w:shd w:fill="E8EDF6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12</w:t>
            </w:r>
          </w:p>
        </w:tc>
        <w:tc>
          <w:tcPr>
            <w:tcW w:type="dxa" w:w="30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Integração e supervisão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Íris e Nina</w:t>
            </w:r>
          </w:p>
        </w:tc>
        <w:tc>
          <w:tcPr>
            <w:tcW w:type="dxa" w:w="4278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Ler o perfil, completar o que falta, conferir alertas</w:t>
            </w:r>
          </w:p>
        </w:tc>
        <w:tc>
          <w:tcPr>
            <w:tcW w:type="dxa" w:w="1800"/>
            <w:tcBorders>
              <w:top w:val="single" w:color="A04F00" w:sz="6"/>
              <w:left w:val="single" w:color="A04F00" w:sz="6"/>
              <w:bottom w:val="single" w:color="A04F00" w:sz="6"/>
              <w:right w:val="single" w:color="A04F00" w:sz="6"/>
            </w:tcBorders>
            <w:shd w:fill="FDECDD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≈ 10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13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Plano de 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Theo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Reler o quadro Para o treino; revisar e aprovar 30, 60, 90 dias e 12 meses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10 a 15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14</w:t>
            </w:r>
          </w:p>
        </w:tc>
        <w:tc>
          <w:tcPr>
            <w:tcW w:type="dxa" w:w="30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Relatórios e devolutiva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Clara</w:t>
            </w:r>
          </w:p>
        </w:tc>
        <w:tc>
          <w:tcPr>
            <w:tcW w:type="dxa" w:w="4278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PDF, WhatsApp e slides; conversa com o paciente</w:t>
            </w:r>
          </w:p>
        </w:tc>
        <w:tc>
          <w:tcPr>
            <w:tcW w:type="dxa" w:w="1800"/>
            <w:tcBorders>
              <w:top w:val="single" w:color="C9A24D" w:sz="6"/>
              <w:left w:val="single" w:color="C9A24D" w:sz="6"/>
              <w:bottom w:val="single" w:color="C9A24D" w:sz="6"/>
              <w:right w:val="single" w:color="C9A24D" w:sz="6"/>
            </w:tcBorders>
            <w:shd w:fill="FBF4E3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15 a 20 min</w:t>
            </w:r>
          </w:p>
        </w:tc>
      </w:tr>
      <w:tr>
        <w:trPr>
          <w:cantSplit/>
          <w:trHeight w:val="200" w:hRule="exact"/>
        </w:trPr>
        <w:tc>
          <w:tcPr>
            <w:tcW w:type="dxa" w:w="9638"/>
            <w:gridSpan w:val="4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line="200"/>
              <w:jc w:val="center"/>
            </w:pPr>
            <w:r>
              <w:rPr>
                <w:rFonts w:ascii="Arial" w:cs="Arial" w:eastAsia="Arial" w:hAnsi="Arial"/>
                <w:color w:val="5B6472"/>
                <w:sz w:val="14"/>
                <w:szCs w:val="14"/>
              </w:rPr>
              <w:t xml:space="preserve">▼</w:t>
            </w:r>
          </w:p>
        </w:tc>
      </w:tr>
      <w:tr>
        <w:trPr>
          <w:cantSplit/>
        </w:trPr>
        <w:tc>
          <w:tcPr>
            <w:tcW w:type="dxa" w:w="56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22"/>
                <w:szCs w:val="22"/>
              </w:rPr>
              <w:t xml:space="preserve">15</w:t>
            </w:r>
          </w:p>
        </w:tc>
        <w:tc>
          <w:tcPr>
            <w:tcW w:type="dxa" w:w="30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Reavaliação</w:t>
            </w:r>
          </w:p>
          <w:p>
            <w:pPr>
              <w:spacing w:after="0" w:line="240"/>
            </w:pPr>
            <w:r>
              <w:rPr>
                <w:rFonts w:ascii="Calibri" w:cs="Calibri" w:eastAsia="Calibri" w:hAnsi="Calibri"/>
                <w:color w:val="5B6472"/>
                <w:sz w:val="17"/>
                <w:szCs w:val="17"/>
              </w:rPr>
              <w:t xml:space="preserve">Todos</w:t>
            </w:r>
          </w:p>
        </w:tc>
        <w:tc>
          <w:tcPr>
            <w:tcW w:type="dxa" w:w="4278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</w:pPr>
            <w:r>
              <w:rPr>
                <w:rFonts w:ascii="Calibri" w:cs="Calibri" w:eastAsia="Calibri" w:hAnsi="Calibri"/>
                <w:sz w:val="19"/>
                <w:szCs w:val="19"/>
              </w:rPr>
              <w:t xml:space="preserve">Repetir nas mesmas condições e comparar</w:t>
            </w:r>
          </w:p>
        </w:tc>
        <w:tc>
          <w:tcPr>
            <w:tcW w:type="dxa" w:w="1800"/>
            <w:tcBorders>
              <w:top w:val="single" w:color="5F5E5A" w:sz="6"/>
              <w:left w:val="single" w:color="5F5E5A" w:sz="6"/>
              <w:bottom w:val="single" w:color="5F5E5A" w:sz="6"/>
              <w:right w:val="single" w:color="5F5E5A" w:sz="6"/>
            </w:tcBorders>
            <w:shd w:fill="F1EFE8" w:color="auto" w:val="clear"/>
            <w:tcMar>
              <w:top w:type="dxa" w:w="50"/>
              <w:left w:type="dxa" w:w="90"/>
              <w:bottom w:type="dxa" w:w="50"/>
              <w:right w:type="dxa" w:w="90"/>
            </w:tcMar>
            <w:vAlign w:val="center"/>
          </w:tcPr>
          <w:p>
            <w:pPr>
              <w:spacing w:after="0" w:line="240"/>
              <w:jc w:val="center"/>
            </w:pPr>
            <w:r>
              <w:rPr>
                <w:rFonts w:ascii="Calibri" w:cs="Calibri" w:eastAsia="Calibri" w:hAnsi="Calibri"/>
                <w:b/>
                <w:bCs/>
                <w:sz w:val="19"/>
                <w:szCs w:val="19"/>
              </w:rPr>
              <w:t xml:space="preserve">Como a etapa</w:t>
            </w:r>
          </w:p>
        </w:tc>
      </w:tr>
    </w:tbl>
    <w:sectPr>
      <w:headerReference w:type="default" r:id="rId8"/>
      <w:footerReference w:type="default" r:id="rId9"/>
      <w:type w:val="nextPage"/>
      <w:pgSz w:w="11906" w:h="16838" w:orient="portrait"/>
      <w:pgMar w:top="1300" w:right="1134" w:bottom="1134" w:left="1134" w:header="600" w:footer="500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spacing w:after="0"/>
      <w:jc w:val="center"/>
    </w:pPr>
    <w:r>
      <w:rPr>
        <w:rFonts w:ascii="Calibri" w:cs="Calibri" w:eastAsia="Calibri" w:hAnsi="Calibri"/>
        <w:color w:val="5B6472"/>
        <w:sz w:val="17"/>
        <w:szCs w:val="17"/>
      </w:rPr>
      <w:t xml:space="preserve">Leandro Lopes - Doutorado em Ciências da Saúde · Página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PAGE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  <w:r>
      <w:rPr>
        <w:rFonts w:ascii="Calibri" w:cs="Calibri" w:eastAsia="Calibri" w:hAnsi="Calibri"/>
        <w:color w:val="5B6472"/>
        <w:sz w:val="17"/>
        <w:szCs w:val="17"/>
      </w:rPr>
      <w:t xml:space="preserve"> de </w:t>
    </w:r>
    <w:r>
      <w:rPr>
        <w:rFonts w:ascii="Calibri" w:cs="Calibri" w:eastAsia="Calibri" w:hAnsi="Calibri"/>
        <w:color w:val="5B6472"/>
        <w:sz w:val="17"/>
        <w:szCs w:val="17"/>
      </w:rPr>
      <w:fldChar w:fldCharType="begin"/>
    </w:r>
    <w:r>
      <w:rPr>
        <w:rFonts w:ascii="Calibri" w:cs="Calibri" w:eastAsia="Calibri" w:hAnsi="Calibri"/>
        <w:color w:val="5B6472"/>
        <w:sz w:val="17"/>
        <w:szCs w:val="17"/>
      </w:rPr>
      <w:instrText xml:space="preserve">NUMPAGES</w:instrText>
    </w:r>
    <w:r>
      <w:rPr>
        <w:rFonts w:ascii="Calibri" w:cs="Calibri" w:eastAsia="Calibri" w:hAnsi="Calibri"/>
        <w:color w:val="5B6472"/>
        <w:sz w:val="17"/>
        <w:szCs w:val="17"/>
      </w:rPr>
      <w:fldChar w:fldCharType="separate"/>
    </w:r>
    <w:r>
      <w:rPr>
        <w:rFonts w:ascii="Calibri" w:cs="Calibri" w:eastAsia="Calibri" w:hAnsi="Calibri"/>
        <w:color w:val="5B6472"/>
        <w:sz w:val="17"/>
        <w:szCs w:val="17"/>
      </w:rPr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v1.3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5CE" w:sz="4" w:space="4"/>
      </w:pBdr>
      <w:spacing w:after="0"/>
    </w:pPr>
    <w:r>
      <w:rPr>
        <w:rFonts w:ascii="Calibri" w:cs="Calibri" w:eastAsia="Calibri" w:hAnsi="Calibri"/>
        <w:color w:val="5B6472"/>
        <w:sz w:val="17"/>
        <w:szCs w:val="17"/>
      </w:rPr>
      <w:t xml:space="preserve">POP-AVI-001 · Uso da Avaliação Integrada · v1.3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10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  <w:lvlOverride w:ilvl="1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defaultTabStop w:val="720"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paragraph" w:styleId="Caption">
    <w:name w:val="caption"/>
    <w:basedOn w:val="Normal"/>
    <w:next w:val="Normal"/>
    <w:uiPriority w:val="35"/>
    <w:semiHidden/>
    <w:unhideWhenUsed/>
    <w:qFormat/>
    <w:pPr>
      <w:spacing w:after="200"/>
    </w:pPr>
    <w:rPr>
      <w:i/>
      <w:iCs/>
      <w:color w:val="44546A" w:themeColor="dark2"/>
      <w:sz w:val="18"/>
      <w:szCs w:val="18"/>
    </w:rPr>
  </w:style>
  <w:style w:type="paragraph" w:styleId="Bibliography">
    <w:name w:val="Bibliography"/>
    <w:basedOn w:val="Normal"/>
    <w:next w:val="Normal"/>
    <w:uiPriority w:val="37"/>
    <w:unhideWhenUsed/>
  </w:style>
  <w:style w:type="paragraph" w:styleId="TOC1">
    <w:name w:val="toc 1"/>
    <w:basedOn w:val="Normal"/>
    <w:next w:val="Normal"/>
    <w:uiPriority w:val="39"/>
    <w:semiHidden/>
    <w:unhideWhenUsed/>
    <w:pPr>
      <w:spacing w:after="100"/>
    </w:pPr>
  </w:style>
  <w:style w:type="paragraph" w:styleId="TOC2">
    <w:name w:val="toc 2"/>
    <w:basedOn w:val="Normal"/>
    <w:next w:val="Normal"/>
    <w:uiPriority w:val="39"/>
    <w:semiHidden/>
    <w:unhideWhenUsed/>
    <w:pPr>
      <w:spacing w:after="100"/>
      <w:ind w:left="220"/>
    </w:pPr>
  </w:style>
  <w:style w:type="paragraph" w:styleId="TOC3">
    <w:name w:val="toc 3"/>
    <w:basedOn w:val="Normal"/>
    <w:next w:val="Normal"/>
    <w:uiPriority w:val="39"/>
    <w:semiHidden/>
    <w:unhideWhenUsed/>
    <w:pPr>
      <w:spacing w:after="100"/>
      <w:ind w:left="440"/>
    </w:pPr>
  </w:style>
  <w:style w:type="paragraph" w:styleId="TOC4">
    <w:name w:val="toc 4"/>
    <w:basedOn w:val="Normal"/>
    <w:next w:val="Normal"/>
    <w:uiPriority w:val="39"/>
    <w:semiHidden/>
    <w:unhideWhenUsed/>
    <w:pPr>
      <w:spacing w:after="100"/>
      <w:ind w:left="660"/>
    </w:pPr>
  </w:style>
  <w:style w:type="paragraph" w:styleId="TOC5">
    <w:name w:val="toc 5"/>
    <w:basedOn w:val="Normal"/>
    <w:next w:val="Normal"/>
    <w:uiPriority w:val="39"/>
    <w:semiHidden/>
    <w:unhideWhenUsed/>
    <w:pPr>
      <w:spacing w:after="100"/>
      <w:ind w:left="880"/>
    </w:pPr>
  </w:style>
  <w:style w:type="paragraph" w:styleId="TOC6">
    <w:name w:val="toc 6"/>
    <w:basedOn w:val="Normal"/>
    <w:next w:val="Normal"/>
    <w:uiPriority w:val="39"/>
    <w:semiHidden/>
    <w:unhideWhenUsed/>
    <w:pPr>
      <w:spacing w:after="100"/>
      <w:ind w:left="1100"/>
    </w:pPr>
  </w:style>
  <w:style w:type="paragraph" w:styleId="TOC7">
    <w:name w:val="toc 7"/>
    <w:basedOn w:val="Normal"/>
    <w:next w:val="Normal"/>
    <w:uiPriority w:val="39"/>
    <w:semiHidden/>
    <w:unhideWhenUsed/>
    <w:pPr>
      <w:spacing w:after="100"/>
      <w:ind w:left="1320"/>
    </w:pPr>
  </w:style>
  <w:style w:type="paragraph" w:styleId="TOC8">
    <w:name w:val="toc 8"/>
    <w:basedOn w:val="Normal"/>
    <w:next w:val="Normal"/>
    <w:uiPriority w:val="39"/>
    <w:semiHidden/>
    <w:unhideWhenUsed/>
    <w:pPr>
      <w:spacing w:after="100"/>
      <w:ind w:left="1540"/>
    </w:pPr>
  </w:style>
  <w:style w:type="paragraph" w:styleId="TOC9">
    <w:name w:val="toc 9"/>
    <w:basedOn w:val="Normal"/>
    <w:next w:val="Normal"/>
    <w:uiPriority w:val="39"/>
    <w:semiHidden/>
    <w:unhideWhenUsed/>
    <w:pPr>
      <w:spacing w:after="100"/>
      <w:ind w:left="1760"/>
    </w:pPr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character" w:styleId="LineNumber">
    <w:name w:val="line number"/>
    <w:basedOn w:val="DefaultParagraphFont"/>
    <w:uiPriority w:val="99"/>
    <w:semiHidden/>
    <w:unhideWhenUsed/>
  </w:style>
  <w:style w:type="paragraph" w:styleId="Heading1">
    <w:name w:val="Heading 1"/>
    <w:basedOn w:val="Normal"/>
    <w:next w:val="Normal"/>
    <w:qFormat/>
    <w:pPr>
      <w:spacing w:after="120" w:before="320"/>
      <w:outlineLvl w:val="0"/>
    </w:pPr>
    <w:rPr>
      <w:rFonts w:ascii="Calibri" w:cs="Calibri" w:eastAsia="Calibri" w:hAnsi="Calibri"/>
      <w:b/>
      <w:bCs/>
      <w:color w:val="16325C"/>
      <w:sz w:val="28"/>
      <w:szCs w:val="28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sz w:val="24"/>
      <w:szCs w:val="24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header" Target="header2.xml"/><Relationship Id="rId9" Type="http://schemas.openxmlformats.org/officeDocument/2006/relationships/footer" Target="footer2.xml"/><Relationship Id="rId10" Type="http://schemas.openxmlformats.org/officeDocument/2006/relationships/theme" Target="theme/theme1.xml"/><Relationship Id="rId11" Type="http://schemas.openxmlformats.org/officeDocument/2006/relationships/image" Target="media/3af661c4111fd465db74d11be2fd48762e5597ac.png"/><Relationship Id="rId12" Type="http://schemas.openxmlformats.org/officeDocument/2006/relationships/image" Target="media/51472e076efce3dcb992900f852df2fc2c8ac971.png"/><Relationship Id="rId13" Type="http://schemas.openxmlformats.org/officeDocument/2006/relationships/image" Target="media/a20d5f22e51761e4accaa2f074db66abd0357c94.png"/><Relationship Id="rId14" Type="http://schemas.openxmlformats.org/officeDocument/2006/relationships/image" Target="media/2d4f782a2b7594a8741530c1f4c437caec045f55.png"/><Relationship Id="rId15" Type="http://schemas.openxmlformats.org/officeDocument/2006/relationships/image" Target="media/76c1ce2c3a59102ba5034f983683222cb876addf.png"/><Relationship Id="rId16" Type="http://schemas.openxmlformats.org/officeDocument/2006/relationships/image" Target="media/a9e2a4706d955fb86b8d84797e1798763c418d28.png"/><Relationship Id="rId17" Type="http://schemas.openxmlformats.org/officeDocument/2006/relationships/image" Target="media/785223d6b4a37f2e926c1ae9814c104b9ccae706.png"/><Relationship Id="rId18" Type="http://schemas.openxmlformats.org/officeDocument/2006/relationships/image" Target="media/ae82191941664a172f9f6cf8f1105217b35a7ed3.png"/><Relationship Id="rId1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POP - Uso da Avaliação Integrada</dc:title>
  <dc:creator>Leandro Lopes</dc:creator>
  <dc:description>Procedimento operacional padrão</dc:description>
  <cp:lastModifiedBy>Un-named</cp:lastModifiedBy>
  <cp:revision>1</cp:revision>
  <dcterms:created xsi:type="dcterms:W3CDTF">2026-10-26T12:20:38.642Z</dcterms:created>
  <dcterms:modified xsi:type="dcterms:W3CDTF">2026-10-26T12:20:38.643Z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