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8FD174D" w:rsidR="005D680A" w:rsidRPr="00026C4A" w:rsidRDefault="00026C4A">
      <w:r>
        <w:t xml:space="preserve">  </w:t>
      </w: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>CompanyName</w:t>
            </w:r>
          </w:p>
          <w:p w14:paraId="6092265D" w14:textId="5BE18183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r>
              <w:rPr>
                <w:sz w:val="48"/>
                <w:szCs w:val="48"/>
              </w:rPr>
              <w:t xml:space="preserve">UsersPeak 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bookmarkStart w:id="0" w:name="_Toc505787188"/>
    <w:bookmarkStart w:id="1" w:name="_Toc505787245"/>
    <w:bookmarkStart w:id="2" w:name="_Toc505788950"/>
    <w:bookmarkStart w:id="3" w:name="_Toc505789187"/>
    <w:bookmarkStart w:id="4" w:name="_Toc507499632"/>
    <w:bookmarkStart w:id="5" w:name="_Toc507508486"/>
    <w:bookmarkStart w:id="6" w:name="_Toc507510481"/>
    <w:bookmarkStart w:id="7" w:name="_Toc519839238"/>
    <w:bookmarkStart w:id="8" w:name="_Toc158645787"/>
    <w:p w14:paraId="5AEC8783" w14:textId="77777777" w:rsidR="005D680A" w:rsidRDefault="00095CA8">
      <w:pPr>
        <w:pStyle w:val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095CA8" w:rsidRDefault="00095CA8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095CA8" w:rsidRDefault="00095CA8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ECAFFBC" w14:textId="77777777" w:rsidR="005D680A" w:rsidRDefault="004B406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7" w:tooltip="#_Toc158645787" w:history="1">
        <w:r w:rsidR="00095CA8">
          <w:rPr>
            <w:rStyle w:val="afa"/>
            <w:rFonts w:eastAsia="Calibri"/>
          </w:rPr>
          <w:t>Оглавление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_Toc158645787 \h </w:instrText>
        </w:r>
        <w:r w:rsidR="00095CA8">
          <w:fldChar w:fldCharType="separate"/>
        </w:r>
        <w:r w:rsidR="00095CA8">
          <w:t>1</w:t>
        </w:r>
        <w:r w:rsidR="00095CA8">
          <w:fldChar w:fldCharType="end"/>
        </w:r>
      </w:hyperlink>
    </w:p>
    <w:p w14:paraId="0CC1A4DE" w14:textId="77777777" w:rsidR="005D680A" w:rsidRDefault="004B406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8" w:tooltip="#_Toc158645788" w:history="1">
        <w:r w:rsidR="00095CA8">
          <w:rPr>
            <w:rStyle w:val="afa"/>
            <w:rFonts w:eastAsia="Calibri"/>
          </w:rPr>
          <w:t>Общая информация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_Toc158645788 \h </w:instrText>
        </w:r>
        <w:r w:rsidR="00095CA8">
          <w:fldChar w:fldCharType="separate"/>
        </w:r>
        <w:r w:rsidR="00095CA8">
          <w:t>3</w:t>
        </w:r>
        <w:r w:rsidR="00095CA8">
          <w:fldChar w:fldCharType="end"/>
        </w:r>
      </w:hyperlink>
    </w:p>
    <w:p w14:paraId="7BDE9CC1" w14:textId="77777777" w:rsidR="005D680A" w:rsidRDefault="004B406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9" w:tooltip="#_Toc158645789" w:history="1">
        <w:r w:rsidR="00095CA8">
          <w:rPr>
            <w:rStyle w:val="afa"/>
            <w:rFonts w:eastAsia="Calibri"/>
          </w:rPr>
          <w:t>Условия функционирования системы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_Toc158645789 \h </w:instrText>
        </w:r>
        <w:r w:rsidR="00095CA8">
          <w:fldChar w:fldCharType="separate"/>
        </w:r>
        <w:r w:rsidR="00095CA8">
          <w:t>3</w:t>
        </w:r>
        <w:r w:rsidR="00095CA8">
          <w:fldChar w:fldCharType="end"/>
        </w:r>
      </w:hyperlink>
    </w:p>
    <w:p w14:paraId="26309C97" w14:textId="77777777" w:rsidR="005D680A" w:rsidRDefault="004B406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0" w:tooltip="#_Toc158645790" w:history="1">
        <w:r w:rsidR="00095CA8">
          <w:rPr>
            <w:rStyle w:val="afa"/>
            <w:rFonts w:eastAsia="Calibri"/>
            <w:shd w:val="clear" w:color="auto" w:fill="FFFFFF"/>
          </w:rPr>
          <w:t>Матрица протестированного ПО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_Toc158645790 \h </w:instrText>
        </w:r>
        <w:r w:rsidR="00095CA8">
          <w:fldChar w:fldCharType="separate"/>
        </w:r>
        <w:r w:rsidR="00095CA8">
          <w:t>4</w:t>
        </w:r>
        <w:r w:rsidR="00095CA8">
          <w:fldChar w:fldCharType="end"/>
        </w:r>
      </w:hyperlink>
    </w:p>
    <w:p w14:paraId="31F405BA" w14:textId="77777777" w:rsidR="005D680A" w:rsidRDefault="004B406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91" w:tooltip="#_Toc158645791" w:history="1">
        <w:r w:rsidR="00095CA8">
          <w:rPr>
            <w:rStyle w:val="afa"/>
            <w:rFonts w:eastAsia="Calibri"/>
          </w:rPr>
          <w:t>Рекомендуемая конфигурация системы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_Toc158645791 \h </w:instrText>
        </w:r>
        <w:r w:rsidR="00095CA8">
          <w:fldChar w:fldCharType="separate"/>
        </w:r>
        <w:r w:rsidR="00095CA8">
          <w:t>5</w:t>
        </w:r>
        <w:r w:rsidR="00095CA8">
          <w:fldChar w:fldCharType="end"/>
        </w:r>
      </w:hyperlink>
    </w:p>
    <w:p w14:paraId="798C853C" w14:textId="77777777" w:rsidR="005D680A" w:rsidRDefault="004B406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2" w:tooltip="#_Toc158645792" w:history="1">
        <w:r w:rsidR="00095CA8">
          <w:rPr>
            <w:rStyle w:val="afa"/>
            <w:rFonts w:eastAsia="Calibri"/>
          </w:rPr>
          <w:t>Описание структуры хранилища данных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_Toc158645792 \h </w:instrText>
        </w:r>
        <w:r w:rsidR="00095CA8">
          <w:fldChar w:fldCharType="separate"/>
        </w:r>
        <w:r w:rsidR="00095CA8">
          <w:t>7</w:t>
        </w:r>
        <w:r w:rsidR="00095CA8">
          <w:fldChar w:fldCharType="end"/>
        </w:r>
      </w:hyperlink>
    </w:p>
    <w:p w14:paraId="1EE058BE" w14:textId="77777777" w:rsidR="005D680A" w:rsidRDefault="004B406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3" w:tooltip="#_Toc158645793" w:history="1">
        <w:r w:rsidR="00095CA8">
          <w:rPr>
            <w:rStyle w:val="afa"/>
            <w:rFonts w:eastAsia="Calibri" w:cs="Arial"/>
          </w:rPr>
          <w:t>Используемые порты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_Toc158645793 \h </w:instrText>
        </w:r>
        <w:r w:rsidR="00095CA8">
          <w:fldChar w:fldCharType="separate"/>
        </w:r>
        <w:r w:rsidR="00095CA8">
          <w:t>8</w:t>
        </w:r>
        <w:r w:rsidR="00095CA8">
          <w:fldChar w:fldCharType="end"/>
        </w:r>
      </w:hyperlink>
    </w:p>
    <w:p w14:paraId="1FB933F0" w14:textId="77777777" w:rsidR="005D680A" w:rsidRDefault="004B406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94" w:tooltip="#_Toc158645794" w:history="1">
        <w:r w:rsidR="00095CA8">
          <w:rPr>
            <w:rStyle w:val="afa"/>
            <w:rFonts w:eastAsia="Calibri"/>
          </w:rPr>
          <w:t>Минимальные требования к узлам продуктивной инфраструктуры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_Toc158645794 \h </w:instrText>
        </w:r>
        <w:r w:rsidR="00095CA8">
          <w:fldChar w:fldCharType="separate"/>
        </w:r>
        <w:r w:rsidR="00095CA8">
          <w:t>10</w:t>
        </w:r>
        <w:r w:rsidR="00095CA8">
          <w:fldChar w:fldCharType="end"/>
        </w:r>
      </w:hyperlink>
    </w:p>
    <w:p w14:paraId="1F0A3988" w14:textId="77777777" w:rsidR="005D680A" w:rsidRDefault="004B406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5" w:tooltip="#_Toc158645795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_Toc158645795 \h </w:instrText>
        </w:r>
        <w:r w:rsidR="00095CA8">
          <w:fldChar w:fldCharType="separate"/>
        </w:r>
        <w:r w:rsidR="00095CA8">
          <w:t>10</w:t>
        </w:r>
        <w:r w:rsidR="00095CA8">
          <w:fldChar w:fldCharType="end"/>
        </w:r>
      </w:hyperlink>
    </w:p>
    <w:p w14:paraId="664DEAD9" w14:textId="77777777" w:rsidR="005D680A" w:rsidRDefault="004B406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6" w:tooltip="#_Toc158645796" w:history="1">
        <w:r w:rsidR="00095CA8">
          <w:rPr>
            <w:rStyle w:val="afa"/>
            <w:rFonts w:eastAsia="Calibri"/>
          </w:rPr>
          <w:t>Суммарный объем вычислительных ресурсов продуктивного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_Toc158645796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56377BDE" w14:textId="77777777" w:rsidR="005D680A" w:rsidRDefault="004B4063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797" w:tooltip="#_Toc158645797" w:history="1">
        <w:r w:rsidR="00095CA8">
          <w:rPr>
            <w:rStyle w:val="afa"/>
            <w:rFonts w:eastAsia="Calibri"/>
          </w:rPr>
          <w:t>Расчет дискового хранилища продуктивного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_Toc158645797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2997E936" w14:textId="77777777" w:rsidR="005D680A" w:rsidRDefault="004B406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8" w:tooltip="#_Toc158645798" w:history="1">
        <w:r w:rsidR="00095CA8">
          <w:rPr>
            <w:rStyle w:val="afa"/>
            <w:rFonts w:eastAsia="Calibri"/>
          </w:rPr>
          <w:t>Расчет хранилища для тел документов (файловое хранилище)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_Toc158645798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43DA963B" w14:textId="77777777" w:rsidR="005D680A" w:rsidRDefault="004B406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9" w:tooltip="#_Toc158645799" w:history="1">
        <w:r w:rsidR="00095CA8">
          <w:rPr>
            <w:rStyle w:val="afa"/>
            <w:rFonts w:eastAsia="Calibri"/>
          </w:rPr>
          <w:t>Расчет хранилища для файлов баз данных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_Toc158645799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33C23891" w14:textId="77777777" w:rsidR="005D680A" w:rsidRDefault="004B406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800" w:tooltip="#_Toc158645800" w:history="1">
        <w:r w:rsidR="00095CA8">
          <w:rPr>
            <w:rStyle w:val="afa"/>
            <w:rFonts w:eastAsia="Calibri"/>
          </w:rPr>
          <w:t>Дисковые хранилища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_Toc158645800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3D00D211" w14:textId="77777777" w:rsidR="005D680A" w:rsidRDefault="004B4063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1" w:tooltip="#_Toc158645801" w:history="1">
        <w:r w:rsidR="00095CA8">
          <w:rPr>
            <w:rStyle w:val="afa"/>
            <w:rFonts w:eastAsia="Calibri"/>
          </w:rPr>
          <w:t>Требования к каналам связи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_Toc158645801 \h </w:instrText>
        </w:r>
        <w:r w:rsidR="00095CA8">
          <w:fldChar w:fldCharType="separate"/>
        </w:r>
        <w:r w:rsidR="00095CA8">
          <w:t>16</w:t>
        </w:r>
        <w:r w:rsidR="00095CA8">
          <w:fldChar w:fldCharType="end"/>
        </w:r>
      </w:hyperlink>
    </w:p>
    <w:p w14:paraId="6387A346" w14:textId="77777777" w:rsidR="005D680A" w:rsidRDefault="004B406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802" w:tooltip="#_Toc158645802" w:history="1">
        <w:r w:rsidR="00095CA8">
          <w:rPr>
            <w:rStyle w:val="afa"/>
            <w:rFonts w:eastAsia="Calibri"/>
          </w:rPr>
          <w:t>Минимальные требования к узлам контура разработки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_Toc158645802 \h </w:instrText>
        </w:r>
        <w:r w:rsidR="00095CA8">
          <w:fldChar w:fldCharType="separate"/>
        </w:r>
        <w:r w:rsidR="00095CA8">
          <w:t>17</w:t>
        </w:r>
        <w:r w:rsidR="00095CA8">
          <w:fldChar w:fldCharType="end"/>
        </w:r>
      </w:hyperlink>
    </w:p>
    <w:p w14:paraId="658FB11C" w14:textId="77777777" w:rsidR="005D680A" w:rsidRDefault="004B4063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3" w:tooltip="#_Toc158645803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_Toc158645803 \h </w:instrText>
        </w:r>
        <w:r w:rsidR="00095CA8">
          <w:fldChar w:fldCharType="separate"/>
        </w:r>
        <w:r w:rsidR="00095CA8">
          <w:t>17</w:t>
        </w:r>
        <w:r w:rsidR="00095CA8">
          <w:fldChar w:fldCharType="end"/>
        </w:r>
      </w:hyperlink>
    </w:p>
    <w:p w14:paraId="548A629A" w14:textId="77777777" w:rsidR="005D680A" w:rsidRDefault="004B406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804" w:tooltip="#_Toc158645804" w:history="1">
        <w:r w:rsidR="00095CA8">
          <w:rPr>
            <w:rStyle w:val="afa"/>
            <w:rFonts w:eastAsia="Calibri"/>
          </w:rPr>
          <w:t>Минимальные требования к узлам тестового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_Toc158645804 \h </w:instrText>
        </w:r>
        <w:r w:rsidR="00095CA8">
          <w:fldChar w:fldCharType="separate"/>
        </w:r>
        <w:r w:rsidR="00095CA8">
          <w:t>18</w:t>
        </w:r>
        <w:r w:rsidR="00095CA8">
          <w:fldChar w:fldCharType="end"/>
        </w:r>
      </w:hyperlink>
    </w:p>
    <w:p w14:paraId="5BF58935" w14:textId="77777777" w:rsidR="005D680A" w:rsidRDefault="004B4063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5" w:tooltip="#_Toc158645805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_Toc158645805 \h </w:instrText>
        </w:r>
        <w:r w:rsidR="00095CA8">
          <w:fldChar w:fldCharType="separate"/>
        </w:r>
        <w:r w:rsidR="00095CA8">
          <w:t>18</w:t>
        </w:r>
        <w:r w:rsidR="00095CA8"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58645788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77777777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>
        <w:t xml:space="preserve">Directum RX </w:t>
      </w:r>
      <w:r>
        <w:rPr>
          <w:shd w:val="clear" w:color="auto" w:fill="FFFFFF"/>
        </w:rPr>
        <w:t>4.10.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77777777" w:rsidR="005D680A" w:rsidRDefault="00095CA8">
      <w:pPr>
        <w:pStyle w:val="afc"/>
      </w:pPr>
      <w:r>
        <w:t>1. Рекомендации действительны для версии системы Directum 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58645789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r>
              <w:t>DBTypeSQL</w:t>
            </w:r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r>
              <w:t>UserCount</w:t>
            </w:r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r>
              <w:t>UsersPeak</w:t>
            </w:r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r>
              <w:t>UsersForecast</w:t>
            </w:r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Default="00095CA8">
            <w:pPr>
              <w:pStyle w:val="affff4"/>
            </w:pPr>
            <w:r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r>
              <w:t>ImportDataSize</w:t>
            </w:r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Default="00095CA8">
            <w:pPr>
              <w:pStyle w:val="affff4"/>
            </w:pPr>
            <w:r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r>
              <w:t>ImportPeriod</w:t>
            </w:r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r>
              <w:t>ExtIntegration</w:t>
            </w:r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58645790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77777777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r>
        <w:rPr>
          <w:lang w:val="en-US"/>
        </w:rPr>
        <w:t>Directum</w:t>
      </w:r>
      <w:r>
        <w:t xml:space="preserve"> 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2170F1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23FA0D90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FA1058">
              <w:t xml:space="preserve"> </w:t>
            </w:r>
            <w:r>
              <w:rPr>
                <w:lang w:val="en-US"/>
              </w:rPr>
              <w:t>Linux</w:t>
            </w:r>
            <w:r w:rsidRPr="00FA1058">
              <w:t xml:space="preserve"> </w:t>
            </w:r>
            <w:r>
              <w:rPr>
                <w:lang w:val="en-US"/>
              </w:rPr>
              <w:t>Special</w:t>
            </w:r>
            <w:r w:rsidRPr="00FA1058">
              <w:t xml:space="preserve"> </w:t>
            </w:r>
            <w:r>
              <w:rPr>
                <w:lang w:val="en-US"/>
              </w:rPr>
              <w:t>Edition</w:t>
            </w:r>
            <w:r w:rsidRPr="00FA1058">
              <w:t xml:space="preserve"> 1.7.5 (“</w:t>
            </w:r>
            <w:r>
              <w:t>Воронеж</w:t>
            </w:r>
            <w:r w:rsidRPr="00FA1058">
              <w:t>”, “</w:t>
            </w:r>
            <w:r>
              <w:t>Орел</w:t>
            </w:r>
            <w:r w:rsidRPr="00FA1058">
              <w:t>”, “</w:t>
            </w:r>
            <w:r>
              <w:t>Смоленск</w:t>
            </w:r>
            <w:r w:rsidRPr="00FA1058">
              <w:t>”);</w:t>
            </w:r>
            <w:r w:rsidRPr="00FA1058">
              <w:rPr>
                <w:rStyle w:val="affff8"/>
                <w:sz w:val="20"/>
                <w:szCs w:val="20"/>
              </w:rPr>
              <w:br/>
            </w:r>
          </w:p>
          <w:p w14:paraId="759C54F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2170F1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26ACB868" w14:textId="77777777" w:rsidR="003F6365" w:rsidRPr="0060365D" w:rsidRDefault="00095CA8">
      <w:pPr>
        <w:pStyle w:val="10"/>
        <w:tabs>
          <w:tab w:val="left" w:pos="9030"/>
        </w:tabs>
      </w:pPr>
      <w:bookmarkStart w:id="21" w:name="_Toc158645791"/>
      <w:r>
        <w:lastRenderedPageBreak/>
        <w:t>Рекомендуемая</w:t>
      </w:r>
      <w:r w:rsidRPr="0060365D">
        <w:t xml:space="preserve"> </w:t>
      </w:r>
      <w:r>
        <w:t>конфигурация</w:t>
      </w:r>
      <w:r w:rsidRPr="0060365D">
        <w:t xml:space="preserve"> </w:t>
      </w:r>
      <w:r>
        <w:t>системы</w:t>
      </w:r>
      <w:bookmarkEnd w:id="21"/>
      <w:r w:rsidRPr="0060365D">
        <w:t xml:space="preserve"> </w:t>
      </w:r>
    </w:p>
    <w:p w14:paraId="6AC304A3" w14:textId="1A268E60" w:rsidR="005D680A" w:rsidRPr="0060365D" w:rsidRDefault="003F6365" w:rsidP="003F6365">
      <w:r>
        <w:rPr>
          <w:lang w:val="en-US"/>
        </w:rPr>
        <w:t>PASTESCHEME</w:t>
      </w:r>
      <w:r w:rsidR="00095CA8" w:rsidRPr="0060365D">
        <w:tab/>
      </w:r>
    </w:p>
    <w:p w14:paraId="5695E1A4" w14:textId="5CE78A2B" w:rsidR="005D680A" w:rsidRPr="0060365D" w:rsidRDefault="004B4063">
      <w:pPr>
        <w:pStyle w:val="a5"/>
        <w:jc w:val="center"/>
      </w:pPr>
      <w:bookmarkStart w:id="22" w:name="_MON_1754392665"/>
      <w:bookmarkEnd w:id="22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77777777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r>
        <w:rPr>
          <w:lang w:val="en-US"/>
        </w:rPr>
        <w:t>Directum</w:t>
      </w:r>
      <w:r>
        <w:t xml:space="preserve"> </w:t>
      </w:r>
      <w:r>
        <w:rPr>
          <w:lang w:val="en-US"/>
        </w:rPr>
        <w:t>RX</w:t>
      </w:r>
    </w:p>
    <w:p w14:paraId="7ED30215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нагрузки и отказоустойчивости Directum RX в зависимости от операционной системы необходимо развернуть сервер реверс-прокси. Далее в рекомендациях используется HAProxy.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Default="00095CA8">
      <w:p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3F6365" w:rsidRDefault="00095CA8">
      <w:pPr>
        <w:pStyle w:val="a1"/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Узел администрирования </w:t>
      </w:r>
      <w:r w:rsidRPr="003F6365">
        <w:rPr>
          <w:rStyle w:val="affff8"/>
          <w:b/>
          <w:sz w:val="20"/>
          <w:szCs w:val="20"/>
          <w:lang w:val="en-US"/>
        </w:rPr>
        <w:t>Kubernetes</w:t>
      </w:r>
      <w:r w:rsidRPr="003F6365">
        <w:rPr>
          <w:rStyle w:val="affff8"/>
          <w:b/>
          <w:sz w:val="20"/>
          <w:szCs w:val="20"/>
        </w:rPr>
        <w:t xml:space="preserve"> </w:t>
      </w:r>
      <w:r w:rsidRPr="003F6365">
        <w:rPr>
          <w:rStyle w:val="affff8"/>
          <w:sz w:val="20"/>
          <w:szCs w:val="20"/>
        </w:rPr>
        <w:t xml:space="preserve">– с Directum Launcher, инструментом командной строки kubectl и утилитой Helm. </w:t>
      </w:r>
    </w:p>
    <w:p w14:paraId="341F97CB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sz w:val="20"/>
          <w:szCs w:val="20"/>
        </w:rPr>
        <w:t>На узле генерируется конфигурационный файл config.yml и сертификат для проверки токена доступа к сервисам системы (Sungero data protection). Также с узла администрирования запускается создание базы данных и публикация прикладной разработки Directum RX;</w:t>
      </w:r>
    </w:p>
    <w:p w14:paraId="3B0F072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веб-сервера </w:t>
      </w:r>
      <w:r>
        <w:rPr>
          <w:rStyle w:val="affff8"/>
          <w:b/>
          <w:sz w:val="20"/>
          <w:szCs w:val="20"/>
          <w:lang w:val="en-US"/>
        </w:rPr>
        <w:t>Directum</w:t>
      </w:r>
      <w:r>
        <w:rPr>
          <w:rStyle w:val="affff8"/>
          <w:b/>
          <w:sz w:val="20"/>
          <w:szCs w:val="20"/>
        </w:rPr>
        <w:t xml:space="preserve"> </w:t>
      </w:r>
      <w:r>
        <w:rPr>
          <w:rStyle w:val="affff8"/>
          <w:b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обслуживает запросы среды разработки, утилит DeploymentToolCore или DeploymentTool на публикацию созданных или измененных решений, чтобы доработки стали доступны для использования.</w:t>
      </w:r>
    </w:p>
    <w:p w14:paraId="485FDA54" w14:textId="77777777" w:rsidR="005D680A" w:rsidRPr="003F6365" w:rsidRDefault="00095CA8">
      <w:pPr>
        <w:pStyle w:val="a1"/>
        <w:rPr>
          <w:rStyle w:val="affff8"/>
        </w:rPr>
      </w:pPr>
      <w:r w:rsidRPr="003F6365">
        <w:rPr>
          <w:rStyle w:val="affff8"/>
          <w:b/>
          <w:sz w:val="20"/>
        </w:rPr>
        <w:t xml:space="preserve">Узлы </w:t>
      </w:r>
      <w:r w:rsidRPr="003F6365">
        <w:rPr>
          <w:rStyle w:val="affff8"/>
          <w:b/>
          <w:sz w:val="20"/>
          <w:lang w:val="en-US"/>
        </w:rPr>
        <w:t>Directum</w:t>
      </w:r>
      <w:r w:rsidRPr="003F6365">
        <w:rPr>
          <w:rStyle w:val="affff8"/>
          <w:b/>
          <w:sz w:val="20"/>
        </w:rPr>
        <w:t xml:space="preserve"> </w:t>
      </w:r>
      <w:r w:rsidRPr="003F6365">
        <w:rPr>
          <w:rStyle w:val="affff8"/>
          <w:b/>
          <w:sz w:val="20"/>
          <w:lang w:val="en-US"/>
        </w:rPr>
        <w:t>RX</w:t>
      </w:r>
      <w:r w:rsidRPr="003F6365">
        <w:rPr>
          <w:rStyle w:val="affff8"/>
          <w:sz w:val="20"/>
        </w:rPr>
        <w:t xml:space="preserve"> – виртуальные машины, на которых развернуты сервисы Directum RX.</w:t>
      </w:r>
    </w:p>
    <w:p w14:paraId="2047B53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микросервисов </w:t>
      </w:r>
      <w:r>
        <w:rPr>
          <w:rStyle w:val="affff8"/>
          <w:b/>
          <w:sz w:val="20"/>
          <w:szCs w:val="20"/>
          <w:lang w:val="en-US"/>
        </w:rPr>
        <w:t>Directum</w:t>
      </w:r>
      <w:r>
        <w:rPr>
          <w:rStyle w:val="affff8"/>
          <w:b/>
          <w:sz w:val="20"/>
          <w:szCs w:val="20"/>
        </w:rPr>
        <w:t xml:space="preserve"> </w:t>
      </w:r>
      <w:r>
        <w:rPr>
          <w:rStyle w:val="affff8"/>
          <w:b/>
          <w:sz w:val="20"/>
          <w:szCs w:val="20"/>
          <w:lang w:val="en-US"/>
        </w:rPr>
        <w:t>RX</w:t>
      </w:r>
      <w:r>
        <w:rPr>
          <w:rStyle w:val="affff8"/>
          <w:b/>
          <w:sz w:val="20"/>
          <w:szCs w:val="20"/>
        </w:rPr>
        <w:t xml:space="preserve"> – </w:t>
      </w:r>
      <w:r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77777777" w:rsidR="005D680A" w:rsidRDefault="00095CA8">
      <w:pPr>
        <w:pStyle w:val="a1"/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Сервис NOMAD (NomadService) - </w:t>
      </w:r>
      <w:r>
        <w:rPr>
          <w:rStyle w:val="affff8"/>
          <w:sz w:val="20"/>
          <w:szCs w:val="20"/>
        </w:rPr>
        <w:t>обеспечивает взаимодействие мобильных приложений Directum Solo и Directum Jazz с системой Directum 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  <w:lang w:val="en-US"/>
        </w:rPr>
        <w:t>r</w:t>
      </w:r>
      <w:r>
        <w:rPr>
          <w:rStyle w:val="affff8"/>
          <w:b/>
          <w:sz w:val="20"/>
          <w:szCs w:val="20"/>
        </w:rPr>
        <w:t>evers</w:t>
      </w:r>
      <w:r>
        <w:rPr>
          <w:rStyle w:val="affff8"/>
          <w:b/>
          <w:sz w:val="20"/>
          <w:szCs w:val="20"/>
          <w:lang w:val="en-US"/>
        </w:rPr>
        <w:t>e</w:t>
      </w:r>
      <w:r>
        <w:rPr>
          <w:rStyle w:val="affff8"/>
          <w:b/>
          <w:sz w:val="20"/>
          <w:szCs w:val="20"/>
        </w:rPr>
        <w:t>-proxy</w:t>
      </w:r>
      <w:r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b/>
        </w:rPr>
        <w:t>СУБД</w:t>
      </w:r>
      <w:r>
        <w:rPr>
          <w:rStyle w:val="affff8"/>
          <w:sz w:val="20"/>
          <w:szCs w:val="20"/>
        </w:rPr>
        <w:t xml:space="preserve"> – узлы СУБД </w:t>
      </w:r>
      <w:r>
        <w:rPr>
          <w:lang w:val="en-US"/>
        </w:rPr>
        <w:t>DBTypeSQL</w:t>
      </w:r>
      <w:r>
        <w:t>, развернутые в виртуальной среде</w:t>
      </w:r>
      <w:r>
        <w:rPr>
          <w:rStyle w:val="affff8"/>
          <w:sz w:val="20"/>
          <w:szCs w:val="20"/>
        </w:rPr>
        <w:t>.</w:t>
      </w:r>
    </w:p>
    <w:p w14:paraId="545958D9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DCS</w:t>
      </w:r>
      <w:r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Capture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Service</w:t>
      </w:r>
      <w:r>
        <w:rPr>
          <w:rStyle w:val="affff8"/>
          <w:sz w:val="20"/>
          <w:szCs w:val="20"/>
        </w:rPr>
        <w:t>).</w:t>
      </w:r>
    </w:p>
    <w:p w14:paraId="02B25D92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Узел полнотекстового поиска – </w:t>
      </w:r>
      <w:r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77777777" w:rsidR="005D680A" w:rsidRDefault="00095CA8">
      <w:pPr>
        <w:pStyle w:val="a1"/>
        <w:numPr>
          <w:ilvl w:val="0"/>
          <w:numId w:val="6"/>
        </w:num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RabbitMQ</w:t>
      </w:r>
      <w:r>
        <w:rPr>
          <w:rStyle w:val="affff8"/>
          <w:b/>
          <w:sz w:val="20"/>
          <w:szCs w:val="20"/>
        </w:rPr>
        <w:t xml:space="preserve">, </w:t>
      </w:r>
      <w:r>
        <w:rPr>
          <w:rStyle w:val="affff8"/>
          <w:b/>
          <w:sz w:val="20"/>
          <w:szCs w:val="20"/>
          <w:lang w:val="en-US"/>
        </w:rPr>
        <w:t>etcd</w:t>
      </w:r>
      <w:r>
        <w:rPr>
          <w:rStyle w:val="affff8"/>
          <w:b/>
          <w:sz w:val="20"/>
          <w:szCs w:val="20"/>
        </w:rPr>
        <w:t>+</w:t>
      </w:r>
      <w:r>
        <w:rPr>
          <w:rStyle w:val="affff8"/>
          <w:b/>
          <w:sz w:val="20"/>
          <w:szCs w:val="20"/>
          <w:lang w:val="en-US"/>
        </w:rPr>
        <w:t>haproxy</w:t>
      </w:r>
      <w:r>
        <w:rPr>
          <w:rStyle w:val="affff8"/>
          <w:b/>
          <w:sz w:val="20"/>
          <w:szCs w:val="20"/>
        </w:rPr>
        <w:t>+</w:t>
      </w:r>
      <w:r>
        <w:rPr>
          <w:rStyle w:val="affff8"/>
          <w:b/>
          <w:sz w:val="20"/>
          <w:szCs w:val="20"/>
          <w:lang w:val="en-US"/>
        </w:rPr>
        <w:t>keepalived</w:t>
      </w:r>
      <w:r>
        <w:rPr>
          <w:rStyle w:val="affff8"/>
          <w:b/>
          <w:sz w:val="20"/>
          <w:szCs w:val="20"/>
        </w:rPr>
        <w:t xml:space="preserve"> (</w:t>
      </w:r>
      <w:r>
        <w:rPr>
          <w:rStyle w:val="affff8"/>
          <w:b/>
          <w:sz w:val="20"/>
          <w:szCs w:val="20"/>
          <w:lang w:val="en-US"/>
        </w:rPr>
        <w:t>RMQ</w:t>
      </w:r>
      <w:r>
        <w:rPr>
          <w:rStyle w:val="affff8"/>
          <w:b/>
          <w:sz w:val="20"/>
          <w:szCs w:val="20"/>
        </w:rPr>
        <w:t xml:space="preserve"> + </w:t>
      </w:r>
      <w:r>
        <w:rPr>
          <w:rStyle w:val="affff8"/>
          <w:b/>
          <w:sz w:val="20"/>
          <w:szCs w:val="20"/>
          <w:lang w:val="en-US"/>
        </w:rPr>
        <w:t>EHK</w:t>
      </w:r>
      <w:r>
        <w:rPr>
          <w:rStyle w:val="affff8"/>
          <w:b/>
          <w:sz w:val="20"/>
          <w:szCs w:val="20"/>
        </w:rPr>
        <w:t xml:space="preserve"> ) </w:t>
      </w:r>
      <w:r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>
        <w:rPr>
          <w:rStyle w:val="affff8"/>
          <w:sz w:val="20"/>
          <w:szCs w:val="20"/>
          <w:lang w:val="en-US"/>
        </w:rPr>
        <w:t>PostgreSQL</w:t>
      </w:r>
      <w:r>
        <w:rPr>
          <w:rStyle w:val="affff8"/>
          <w:sz w:val="20"/>
          <w:szCs w:val="20"/>
        </w:rPr>
        <w:t>.</w:t>
      </w:r>
      <w:r>
        <w:t>.</w:t>
      </w:r>
    </w:p>
    <w:p w14:paraId="4579A3D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Сервисы </w:t>
      </w:r>
      <w:r w:rsidRPr="003F6365">
        <w:rPr>
          <w:rStyle w:val="affff8"/>
          <w:b/>
          <w:sz w:val="20"/>
          <w:szCs w:val="20"/>
          <w:lang w:val="en-US"/>
        </w:rPr>
        <w:t>Ario</w:t>
      </w:r>
      <w:r w:rsidRPr="003F6365">
        <w:rPr>
          <w:rStyle w:val="affff8"/>
          <w:b/>
          <w:sz w:val="20"/>
          <w:szCs w:val="20"/>
        </w:rPr>
        <w:t xml:space="preserve"> – </w:t>
      </w:r>
      <w:r w:rsidRPr="003F6365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3F6365">
        <w:rPr>
          <w:rStyle w:val="affff8"/>
          <w:b/>
          <w:sz w:val="20"/>
          <w:szCs w:val="20"/>
          <w:lang w:val="en-US"/>
        </w:rPr>
        <w:t>Directum</w:t>
      </w:r>
      <w:r w:rsidRPr="003F6365">
        <w:rPr>
          <w:rStyle w:val="affff8"/>
          <w:b/>
          <w:sz w:val="20"/>
          <w:szCs w:val="20"/>
        </w:rPr>
        <w:t xml:space="preserve"> </w:t>
      </w:r>
      <w:r w:rsidRPr="003F6365">
        <w:rPr>
          <w:rStyle w:val="affff8"/>
          <w:b/>
          <w:sz w:val="20"/>
          <w:szCs w:val="20"/>
          <w:lang w:val="en-US"/>
        </w:rPr>
        <w:t>RX</w:t>
      </w:r>
      <w:r w:rsidRPr="003F6365">
        <w:rPr>
          <w:rStyle w:val="affff8"/>
          <w:b/>
          <w:sz w:val="20"/>
          <w:szCs w:val="20"/>
        </w:rPr>
        <w:t xml:space="preserve">» - </w:t>
      </w:r>
      <w:r w:rsidRPr="003F6365">
        <w:rPr>
          <w:rStyle w:val="affff8"/>
          <w:sz w:val="20"/>
          <w:szCs w:val="20"/>
        </w:rPr>
        <w:t>решение для удобного контроля состояния системы Directum RX и окружения, в котором она работает.</w:t>
      </w:r>
    </w:p>
    <w:p w14:paraId="458C235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3F6365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3F6365">
        <w:rPr>
          <w:rStyle w:val="affff8"/>
          <w:b/>
          <w:sz w:val="20"/>
          <w:szCs w:val="20"/>
        </w:rPr>
        <w:t>«Личный кабинет»</w:t>
      </w:r>
      <w:r w:rsidRPr="003F6365">
        <w:rPr>
          <w:rStyle w:val="affff8"/>
        </w:rPr>
        <w:t xml:space="preserve"> - </w:t>
      </w:r>
      <w:r w:rsidRPr="003F6365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3F6365">
        <w:rPr>
          <w:rStyle w:val="affff8"/>
        </w:rPr>
        <w:t>.</w:t>
      </w:r>
    </w:p>
    <w:p w14:paraId="1CFE7B81" w14:textId="77777777" w:rsidR="005D680A" w:rsidRPr="003F6365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3F6365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приложения личного кабинета</w:t>
      </w:r>
      <w:r w:rsidRPr="003F6365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Сайт личного кабинета</w:t>
      </w:r>
      <w:r w:rsidRPr="003F6365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идентификации</w:t>
      </w:r>
      <w:r w:rsidRPr="003F6365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Cервис подписания</w:t>
      </w:r>
      <w:r w:rsidRPr="003F6365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документов</w:t>
      </w:r>
      <w:r w:rsidRPr="003F6365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сообщений</w:t>
      </w:r>
      <w:r w:rsidRPr="003F6365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Cервис предпросмотра</w:t>
      </w:r>
      <w:r w:rsidRPr="003F6365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хранения файлов предпросмотра</w:t>
      </w:r>
      <w:r w:rsidRPr="003F6365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хранения BLOB-объектов</w:t>
      </w:r>
      <w:r w:rsidRPr="003F6365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размещения контента</w:t>
      </w:r>
      <w:r w:rsidRPr="003F6365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сеансов</w:t>
      </w:r>
      <w:r w:rsidRPr="003F6365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58645792"/>
      <w:r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>
        <w:rPr>
          <w:rStyle w:val="affff8"/>
          <w:sz w:val="20"/>
          <w:szCs w:val="20"/>
          <w:lang w:val="en-US"/>
        </w:rPr>
        <w:t>RAID</w:t>
      </w:r>
      <w:r>
        <w:rPr>
          <w:rStyle w:val="affff8"/>
          <w:sz w:val="20"/>
          <w:szCs w:val="20"/>
        </w:rPr>
        <w:t xml:space="preserve">-5 или </w:t>
      </w:r>
      <w:r>
        <w:rPr>
          <w:rStyle w:val="affff8"/>
          <w:sz w:val="20"/>
          <w:szCs w:val="20"/>
          <w:lang w:val="en-US"/>
        </w:rPr>
        <w:t>RAID</w:t>
      </w:r>
      <w:r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Файловое хранилище – </w:t>
      </w:r>
      <w:r>
        <w:rPr>
          <w:rStyle w:val="affff8"/>
          <w:sz w:val="20"/>
          <w:szCs w:val="20"/>
        </w:rPr>
        <w:t xml:space="preserve">хранилище тел документов системы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>;</w:t>
      </w:r>
    </w:p>
    <w:p w14:paraId="5AB2CACD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дисков ВМ – </w:t>
      </w:r>
      <w:r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СУБД;</w:t>
      </w:r>
    </w:p>
    <w:p w14:paraId="5CC8167C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Резервное хранилище </w:t>
      </w:r>
      <w:r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БД – </w:t>
      </w:r>
      <w:r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BDD6B49" w14:textId="77777777" w:rsidR="005D680A" w:rsidRPr="003F6365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Хранилище кворума БД – </w:t>
      </w:r>
      <w:r w:rsidRPr="003F6365">
        <w:rPr>
          <w:rStyle w:val="affff8"/>
          <w:sz w:val="20"/>
          <w:szCs w:val="20"/>
        </w:rPr>
        <w:t>раздел на СХД, содержащий файлы кворума БД. Применяется при организации кластера серверов СУБД;</w:t>
      </w:r>
    </w:p>
    <w:p w14:paraId="2C9E97E1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lastRenderedPageBreak/>
        <w:t xml:space="preserve">Хранилище для индексов полнотекстового поиска – </w:t>
      </w:r>
      <w:r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58645793"/>
      <w:r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77777777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Перед установкой системы Directum 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5D680A" w14:paraId="5150091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2170F1" w14:paraId="4522720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14:paraId="64E672D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14:paraId="252B40E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14:paraId="0FF640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системой Directum 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14:paraId="5964645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 RX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9008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lastRenderedPageBreak/>
              <w:t>9028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14:paraId="26732D7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3F6365" w:rsidRDefault="00095CA8">
            <w:pPr>
              <w:pStyle w:val="affff2"/>
            </w:pPr>
            <w:r w:rsidRPr="003F6365">
              <w:rPr>
                <w:b/>
              </w:rPr>
              <w:t>80, 443</w:t>
            </w:r>
            <w:r w:rsidRPr="003F6365">
              <w:t xml:space="preserve"> - для сервисов: </w:t>
            </w:r>
          </w:p>
          <w:p w14:paraId="60762461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0" w:name="_Toc158645794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Default="00095CA8">
      <w:pPr>
        <w:pStyle w:val="3"/>
      </w:pPr>
      <w:bookmarkStart w:id="31" w:name="_Toc158645795"/>
      <w:r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77777777" w:rsidR="005D680A" w:rsidRDefault="00095CA8">
            <w:pPr>
              <w:pStyle w:val="affff4"/>
              <w:jc w:val="center"/>
            </w:pPr>
            <w:r>
              <w:t>Рекомендуемое значение на UsersPeak пользователей</w:t>
            </w:r>
          </w:p>
        </w:tc>
      </w:tr>
      <w:tr w:rsidR="005D680A" w14:paraId="748BB23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85236B" w14:paraId="30C3B7A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6191DF94" w:rsidR="005D680A" w:rsidRPr="0085236B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="009A7F3D"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26ED067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6E33ECD" w14:textId="6AD46DBD" w:rsidR="005D680A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 w:rsidR="008634D2"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 xml:space="preserve">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B248CB7" w:rsidR="005D680A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44D1381" w14:textId="2527F7E1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</w:tc>
      </w:tr>
      <w:tr w:rsidR="005D680A" w:rsidRPr="003F6365" w14:paraId="17C06C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584EE8D" w14:textId="561137D5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4F9124B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1436F7B0" w:rsidR="005D680A" w:rsidRPr="009A7F3D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микросервисов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RX</w:t>
            </w:r>
          </w:p>
        </w:tc>
      </w:tr>
      <w:tr w:rsidR="005D680A" w:rsidRPr="008634D2" w14:paraId="4641839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2FF0DC55" w14:textId="7DCF7E25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MSCPU</w:t>
            </w:r>
            <w:r w:rsidR="00671CC5" w:rsidRPr="003F6365">
              <w:rPr>
                <w:color w:val="000000"/>
              </w:rPr>
              <w:t xml:space="preserve"> </w:t>
            </w:r>
            <w:r w:rsidR="00095CA8" w:rsidRPr="003F6365">
              <w:rPr>
                <w:color w:val="000000"/>
              </w:rPr>
              <w:t>vCPU виртуальных ядер</w:t>
            </w:r>
          </w:p>
        </w:tc>
      </w:tr>
      <w:tr w:rsidR="005D680A" w14:paraId="68D04BA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75AFE08" w14:textId="1A6E1680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 xml:space="preserve">MSRAM </w:t>
            </w:r>
            <w:r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84B6BF4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MSHDD</w:t>
            </w:r>
            <w:r w:rsidR="00671CC5" w:rsidRPr="00671CC5">
              <w:rPr>
                <w:color w:val="000000"/>
              </w:rPr>
              <w:t xml:space="preserve"> </w:t>
            </w:r>
            <w:r w:rsidR="00095CA8" w:rsidRPr="003F6365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E34681E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Микросервисы Directum RX</w:t>
            </w:r>
          </w:p>
        </w:tc>
      </w:tr>
      <w:tr w:rsidR="005D680A" w:rsidRPr="003F6365" w14:paraId="1086059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Операционная система</w:t>
            </w:r>
          </w:p>
        </w:tc>
        <w:tc>
          <w:tcPr>
            <w:tcW w:w="3181" w:type="pct"/>
          </w:tcPr>
          <w:p w14:paraId="1DC7AEB5" w14:textId="4AE35213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Microsoft Windows Server 2012 / 2012R2 / 2016 / 2019 / 2022.</w:t>
            </w:r>
          </w:p>
        </w:tc>
      </w:tr>
      <w:tr w:rsidR="005D680A" w14:paraId="1E0727D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796FD9" w:rsidR="005D680A" w:rsidRPr="003F6365" w:rsidRDefault="001F3F7D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MSCOUNT</w:t>
            </w:r>
          </w:p>
        </w:tc>
      </w:tr>
      <w:tr w:rsidR="005D680A" w14:paraId="7F7A42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3D8D2D8F" w:rsidR="005D680A" w:rsidRPr="001174AD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NOMADCPU</w:t>
            </w:r>
            <w:r w:rsidR="00671CC5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4312B4A" w14:textId="6C19AD60" w:rsidR="005D680A" w:rsidRDefault="004E1E7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20E3915B" w:rsidR="005D680A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3F6365" w14:paraId="3D42CD8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C2A50D" w14:textId="11F25AD6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8C22A9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68946B41" w:rsidR="005D680A" w:rsidRPr="004E1E79" w:rsidRDefault="001174AD">
            <w:pPr>
              <w:pStyle w:val="affff4"/>
              <w:rPr>
                <w:color w:val="000000"/>
                <w:lang w:val="en-US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554C0362" w:rsidR="005D680A" w:rsidRPr="00026C4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="00095CA8"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8CCA093" w14:textId="602AB0B3" w:rsidR="005D680A" w:rsidRDefault="00026C4A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60C9A4A8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="009A7F3D"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r>
              <w:rPr>
                <w:lang w:val="en-US"/>
              </w:rPr>
              <w:t>HAProxy</w:t>
            </w:r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r>
              <w:rPr>
                <w:lang w:val="en-US"/>
              </w:rPr>
              <w:t>keepalived</w:t>
            </w:r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301D2154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32BEB4DF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3D49563" w14:textId="592DA1CE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46A55106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BB024D" w14:paraId="115FAC6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5C99105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713BE5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B7A751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lastRenderedPageBreak/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:rsidRPr="003F6365" w14:paraId="22A6C84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1DFD8A13" w14:textId="3D936D74" w:rsidR="005D680A" w:rsidRPr="003F6365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76C1D1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4F223051" w:rsidR="005D680A" w:rsidRDefault="00417EC4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671CC5" w14:paraId="7746C0C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3A1FF6E3" w:rsidR="005D680A" w:rsidRPr="00671CC5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2616290" w14:textId="6DA464CC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56BBC9FD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3F6365" w14:paraId="3B2FF23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B1B8E54" w14:textId="2414DF80" w:rsidR="005D680A" w:rsidRDefault="00095CA8" w:rsidP="003F6365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0CE52C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7D40CDB1" w:rsidR="005D680A" w:rsidRDefault="000C53A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63FCD18D" w:rsidR="005D680A" w:rsidRDefault="003F6365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ELASTICCPU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</w:p>
        </w:tc>
        <w:tc>
          <w:tcPr>
            <w:tcW w:w="3181" w:type="pct"/>
          </w:tcPr>
          <w:p w14:paraId="49B82A66" w14:textId="08BA812A" w:rsidR="005D680A" w:rsidRDefault="003F6365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ELASTICRAM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47DF1A0B" w:rsidR="005D680A" w:rsidRDefault="003F6365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Индексы полнотекстового поиска: в среднем 10-30%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r>
              <w:rPr>
                <w:lang w:val="en-US"/>
              </w:rPr>
              <w:t>nginx</w:t>
            </w:r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037E97BA" w:rsidR="005D680A" w:rsidRDefault="003F6365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55C6FA79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MONITORINGCPU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71BED54" w14:textId="5BD18260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t xml:space="preserve">MONITORINGRAM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1C092DD6" w:rsidR="005D680A" w:rsidRDefault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77777777" w:rsidR="005D680A" w:rsidRDefault="00095CA8">
            <w:pPr>
              <w:pStyle w:val="affff4"/>
              <w:rPr>
                <w:strike/>
                <w:lang w:val="en-US"/>
              </w:rPr>
            </w:pPr>
            <w:r>
              <w:rPr>
                <w:lang w:val="en-US"/>
              </w:rPr>
              <w:t xml:space="preserve">Docker </w:t>
            </w:r>
            <w:r>
              <w:rPr>
                <w:rStyle w:val="affff8"/>
                <w:sz w:val="20"/>
                <w:szCs w:val="20"/>
                <w:lang w:val="en-US"/>
              </w:rPr>
              <w:t>19.03-24</w:t>
            </w:r>
            <w:r>
              <w:rPr>
                <w:lang w:val="en-US"/>
              </w:rPr>
              <w:t>;</w:t>
            </w:r>
          </w:p>
          <w:p w14:paraId="43880EB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Docker-compose 1.29.1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>;</w:t>
            </w:r>
          </w:p>
          <w:p w14:paraId="55A9C478" w14:textId="77777777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2A8D9320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BB024D" w14:paraId="07A6C8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045A4B3E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(“Воронеж”, “Орел”, “Смоленск”);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2795ADB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D425DF" w14:paraId="4E9746C2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69DEDB" w14:textId="7FE7AA6F" w:rsidR="00D425DF" w:rsidRDefault="00D425DF" w:rsidP="00862407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D425DF" w14:paraId="217705CD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C825A18" w14:textId="580B4A47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FC7077C" w14:textId="1D8686D5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D425DF" w14:paraId="17384547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265692" w14:textId="17FECA36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FD41BB8" w14:textId="2F9E4703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D425DF" w14:paraId="444C37F9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4C669B1" w14:textId="1EF81765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2AD18E48" w14:textId="39E402D8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D425DF" w14:paraId="043D79CA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0C20CD" w14:textId="77475E86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F37A18D" w14:textId="59183C28" w:rsidR="00D425DF" w:rsidRDefault="00D425DF" w:rsidP="00D425DF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D425DF" w14:paraId="3693C52E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575EC83" w14:textId="5BE324D3" w:rsidR="00D425DF" w:rsidRDefault="00D425DF" w:rsidP="00D425DF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1A7FDED1" w14:textId="4A7AC77C" w:rsidR="00D425DF" w:rsidRDefault="00D425DF" w:rsidP="00D425DF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D425DF" w14:paraId="4D68D25D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00339A" w14:textId="371138B7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48C87622" w14:textId="2F854FBF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14:paraId="7CEB1C2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148DC889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ARIOCPU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FD6E750" w14:textId="0455BEB4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t xml:space="preserve">ARIORAM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Directum Ario;</w:t>
            </w:r>
          </w:p>
          <w:p w14:paraId="0791F69B" w14:textId="77777777" w:rsidR="005D680A" w:rsidRPr="0060365D" w:rsidRDefault="00095CA8">
            <w:pPr>
              <w:pStyle w:val="affff4"/>
              <w:rPr>
                <w:lang w:val="en-US"/>
              </w:rPr>
            </w:pPr>
            <w:r>
              <w:t>СУБД</w:t>
            </w:r>
            <w:r w:rsidRPr="0060365D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PostgreSQL</w:t>
            </w:r>
            <w:r w:rsidRPr="0060365D">
              <w:rPr>
                <w:lang w:val="en-US"/>
              </w:rPr>
              <w:t xml:space="preserve"> 9.6.3/11/12/13/14</w:t>
            </w:r>
          </w:p>
          <w:p w14:paraId="05AE473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6A9FC8C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6D5ABAB8" w:rsidR="005D680A" w:rsidRDefault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221560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38861EC" w14:textId="1256D5CD" w:rsidR="005D680A" w:rsidRPr="00D425DF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5D680A" w14:paraId="5B7087D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4BA53DB4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DD5577" w:rsidRPr="00BB024D" w14:paraId="6BE62258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E1F7A5" w14:textId="77777777" w:rsidR="00DD5577" w:rsidRPr="001A059C" w:rsidRDefault="00DD5577" w:rsidP="00862407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A059C">
              <w:rPr>
                <w:b/>
                <w:color w:val="000000"/>
                <w:sz w:val="22"/>
                <w:lang w:val="en-US"/>
              </w:rPr>
              <w:t>Directum Text Extractor Service</w:t>
            </w:r>
          </w:p>
        </w:tc>
      </w:tr>
      <w:tr w:rsidR="00DD5577" w14:paraId="0A4E1D37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C08D04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53EEC6D1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DD5577" w14:paraId="121745D5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1C37FEC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40F82BB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DD5577" w14:paraId="03375F5E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EC6A3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770EEA" w14:textId="77777777" w:rsidR="00DD5577" w:rsidRDefault="00DD5577" w:rsidP="00862407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Directum Ario;</w:t>
            </w:r>
          </w:p>
          <w:p w14:paraId="2FC59D8A" w14:textId="77777777" w:rsidR="00DD5577" w:rsidRPr="0060365D" w:rsidRDefault="00DD5577" w:rsidP="00862407">
            <w:pPr>
              <w:pStyle w:val="affff4"/>
              <w:rPr>
                <w:lang w:val="en-US"/>
              </w:rPr>
            </w:pPr>
            <w:r>
              <w:t>СУБД</w:t>
            </w:r>
            <w:r w:rsidRPr="0060365D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PostgreSQL</w:t>
            </w:r>
            <w:r w:rsidRPr="0060365D">
              <w:rPr>
                <w:lang w:val="en-US"/>
              </w:rPr>
              <w:t xml:space="preserve"> 9.6.3/11/12/13/14</w:t>
            </w:r>
          </w:p>
          <w:p w14:paraId="4B397433" w14:textId="77777777" w:rsidR="00DD5577" w:rsidRDefault="00DD5577" w:rsidP="00862407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762BA3C9" w14:textId="77777777" w:rsidR="00DD5577" w:rsidRDefault="00DD5577" w:rsidP="00862407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DD5577" w14:paraId="5F3E2C6B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524AAC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607AB2A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DD5577" w14:paraId="760D2F9A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F3AED9E" w14:textId="77777777" w:rsidR="00DD5577" w:rsidRDefault="00DD5577" w:rsidP="00862407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A8FD61" w14:textId="5837250B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DD5577" w14:paraId="471A0AC1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E81E14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4DD6DE46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DD5577" w14:paraId="22297D0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5D680A" w:rsidRPr="0060365D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60365D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60365D">
              <w:rPr>
                <w:b/>
                <w:color w:val="000000"/>
                <w:sz w:val="22"/>
              </w:rPr>
              <w:t xml:space="preserve">, </w:t>
            </w:r>
            <w:r>
              <w:rPr>
                <w:b/>
                <w:color w:val="000000"/>
                <w:sz w:val="22"/>
                <w:lang w:val="en-US"/>
              </w:rPr>
              <w:t>etcd</w:t>
            </w:r>
            <w:r w:rsidRPr="0060365D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keepalived</w:t>
            </w:r>
            <w:r w:rsidRPr="0060365D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haproxy</w:t>
            </w:r>
            <w:r w:rsidRPr="0060365D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60365D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60365D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60365D">
              <w:rPr>
                <w:b/>
                <w:color w:val="000000"/>
                <w:sz w:val="22"/>
              </w:rPr>
              <w:t>)</w:t>
            </w:r>
          </w:p>
        </w:tc>
      </w:tr>
      <w:tr w:rsidR="005D680A" w14:paraId="6E84F9A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D5FC968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RRMCPU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69A36B4" w14:textId="2602ED4D" w:rsidR="005D680A" w:rsidRDefault="005B73FB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RabbitMQ</w:t>
            </w:r>
            <w:r w:rsidRPr="005B73FB">
              <w:t xml:space="preserve"> 3.8.1 и выше; </w:t>
            </w:r>
          </w:p>
          <w:p w14:paraId="3186E152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etcd</w:t>
            </w:r>
            <w:r w:rsidRPr="005B73FB">
              <w:t xml:space="preserve"> 3.5.0 и выше;</w:t>
            </w:r>
          </w:p>
          <w:p w14:paraId="1E7EDB16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HAProxy</w:t>
            </w:r>
            <w:r w:rsidRPr="005B73FB">
              <w:t xml:space="preserve"> 2.2 и выше;</w:t>
            </w:r>
          </w:p>
          <w:p w14:paraId="03A79BBC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keepalived</w:t>
            </w:r>
            <w:r w:rsidRPr="005B73FB">
              <w:t xml:space="preserve"> 2.0.10 и выше.</w:t>
            </w:r>
          </w:p>
        </w:tc>
      </w:tr>
      <w:tr w:rsidR="005D680A" w:rsidRPr="003F6365" w14:paraId="68A24D4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06A66A3E" w:rsidR="005D680A" w:rsidRPr="005B73FB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FA6856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252DCDDA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>
              <w:rPr>
                <w:b/>
                <w:color w:val="000000"/>
                <w:sz w:val="22"/>
                <w:lang w:val="en-US"/>
              </w:rPr>
              <w:t>OnlyOffice</w:t>
            </w:r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533710A" w:rsidR="005D680A" w:rsidRDefault="005B73F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ONLINEEDITORCPU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6E53DB25" w:rsidR="005D680A" w:rsidRDefault="005B73F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35D1DB85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64EC30F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:rsidRPr="005B73FB" w14:paraId="21CF478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:rsidRPr="005B73FB" w14:paraId="4066192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5B73FB" w:rsidRDefault="00095CA8">
            <w:pPr>
              <w:pStyle w:val="affff4"/>
            </w:pPr>
            <w:r w:rsidRPr="005B73FB">
              <w:t>Процессор*</w:t>
            </w:r>
          </w:p>
        </w:tc>
        <w:tc>
          <w:tcPr>
            <w:tcW w:w="3181" w:type="pct"/>
          </w:tcPr>
          <w:p w14:paraId="6F0C27F7" w14:textId="4F1C7D48" w:rsidR="005D680A" w:rsidRPr="005B73FB" w:rsidRDefault="005B73FB">
            <w:pPr>
              <w:pStyle w:val="affff4"/>
            </w:pPr>
            <w:r>
              <w:t>LKCPU</w:t>
            </w:r>
            <w:r w:rsidRPr="00AA62CA">
              <w:t xml:space="preserve"> </w:t>
            </w:r>
            <w:r w:rsidR="00095CA8" w:rsidRPr="005B73FB">
              <w:t>vCPU виртуальных ядер</w:t>
            </w:r>
          </w:p>
        </w:tc>
      </w:tr>
      <w:tr w:rsidR="005D680A" w:rsidRPr="005B73FB" w14:paraId="1014B34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77777777" w:rsidR="005D680A" w:rsidRPr="005B73FB" w:rsidRDefault="00095CA8">
            <w:pPr>
              <w:pStyle w:val="affff4"/>
            </w:pPr>
            <w:r w:rsidRPr="005B73FB">
              <w:t>Оперативная память</w:t>
            </w:r>
          </w:p>
        </w:tc>
        <w:tc>
          <w:tcPr>
            <w:tcW w:w="3181" w:type="pct"/>
          </w:tcPr>
          <w:p w14:paraId="2BFC7B58" w14:textId="5C78522B" w:rsidR="005D680A" w:rsidRPr="005B73FB" w:rsidRDefault="005B73FB">
            <w:pPr>
              <w:pStyle w:val="affff4"/>
            </w:pPr>
            <w:r>
              <w:rPr>
                <w:lang w:val="en-US"/>
              </w:rPr>
              <w:t>LKRAM</w:t>
            </w:r>
            <w:r w:rsidRPr="00AA62CA">
              <w:t xml:space="preserve"> </w:t>
            </w:r>
            <w:r w:rsidR="00095CA8" w:rsidRPr="005B73FB">
              <w:t>ГБ</w:t>
            </w:r>
          </w:p>
        </w:tc>
      </w:tr>
      <w:tr w:rsidR="005D680A" w:rsidRPr="005B73FB" w14:paraId="698460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5B73FB" w:rsidRDefault="00095CA8">
            <w:pPr>
              <w:pStyle w:val="affff4"/>
            </w:pPr>
            <w:r w:rsidRPr="005B73FB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C8370E1" w:rsidR="005D680A" w:rsidRPr="005B73FB" w:rsidRDefault="005B73FB">
            <w:pPr>
              <w:pStyle w:val="affff4"/>
            </w:pPr>
            <w:r>
              <w:rPr>
                <w:lang w:val="en-US"/>
              </w:rPr>
              <w:t>LKHDD</w:t>
            </w:r>
            <w:r w:rsidRPr="00AA62CA">
              <w:t xml:space="preserve"> </w:t>
            </w:r>
            <w:r w:rsidR="00095CA8" w:rsidRPr="005B73FB">
              <w:t xml:space="preserve">ГБ для операционной системы </w:t>
            </w:r>
          </w:p>
        </w:tc>
      </w:tr>
      <w:tr w:rsidR="005D680A" w:rsidRPr="005B73FB" w14:paraId="6CA33B1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5B73FB" w:rsidRDefault="00095CA8">
            <w:pPr>
              <w:pStyle w:val="affff4"/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Docker</w:t>
            </w:r>
            <w:r w:rsidRPr="005B73FB">
              <w:t xml:space="preserve"> 20.10.10 и выше</w:t>
            </w:r>
          </w:p>
          <w:p w14:paraId="778CB907" w14:textId="77777777" w:rsidR="005D680A" w:rsidRPr="005B73FB" w:rsidRDefault="00095CA8">
            <w:pPr>
              <w:pStyle w:val="affff4"/>
            </w:pPr>
            <w:r w:rsidRPr="005B73FB">
              <w:t>Набор сервисов решения «Личный кабинет»</w:t>
            </w:r>
          </w:p>
        </w:tc>
      </w:tr>
      <w:tr w:rsidR="005D680A" w:rsidRPr="005B73FB" w14:paraId="16A1335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5B73FB" w:rsidRDefault="00095CA8">
            <w:pPr>
              <w:pStyle w:val="affff4"/>
            </w:pPr>
            <w:r w:rsidRPr="005B73FB">
              <w:t>Операционная система</w:t>
            </w:r>
          </w:p>
        </w:tc>
        <w:tc>
          <w:tcPr>
            <w:tcW w:w="3181" w:type="pct"/>
          </w:tcPr>
          <w:p w14:paraId="689AD318" w14:textId="6E7B786A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5D680A" w:rsidRPr="005B73FB" w14:paraId="56B339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5B73FB" w:rsidRDefault="00095CA8">
            <w:pPr>
              <w:pStyle w:val="affff4"/>
            </w:pPr>
            <w:r w:rsidRPr="005B73FB">
              <w:t>Количество серверов</w:t>
            </w:r>
          </w:p>
        </w:tc>
        <w:tc>
          <w:tcPr>
            <w:tcW w:w="3181" w:type="pct"/>
          </w:tcPr>
          <w:p w14:paraId="157F7B8B" w14:textId="0DF18084" w:rsidR="005D680A" w:rsidRPr="005B73FB" w:rsidRDefault="005B73FB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LKCOUNT</w:t>
            </w:r>
          </w:p>
        </w:tc>
      </w:tr>
      <w:tr w:rsidR="0060365D" w:rsidRPr="00AA62CA" w14:paraId="17DDA595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29F660" w14:textId="77777777" w:rsidR="0060365D" w:rsidRPr="00AA62CA" w:rsidRDefault="0060365D" w:rsidP="001761C5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60365D" w:rsidRPr="00AA62CA" w14:paraId="656EA693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D25FD67" w14:textId="77777777" w:rsidR="0060365D" w:rsidRPr="00AA62CA" w:rsidRDefault="0060365D" w:rsidP="001761C5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25771BB5" w14:textId="4093903E" w:rsidR="0060365D" w:rsidRPr="00AA62CA" w:rsidRDefault="0060365D" w:rsidP="001761C5">
            <w:pPr>
              <w:pStyle w:val="affff4"/>
            </w:pPr>
            <w:r>
              <w:rPr>
                <w:lang w:val="en-US"/>
              </w:rPr>
              <w:t>ADD</w:t>
            </w:r>
            <w:r w:rsidR="00BB024D">
              <w:rPr>
                <w:lang w:val="en-US"/>
              </w:rPr>
              <w:t>RXNODE</w:t>
            </w:r>
            <w:r>
              <w:t>CPU</w:t>
            </w:r>
            <w:r w:rsidRPr="00AA62CA">
              <w:t xml:space="preserve"> vCPU виртуальных ядер</w:t>
            </w:r>
          </w:p>
        </w:tc>
      </w:tr>
      <w:tr w:rsidR="0060365D" w:rsidRPr="00AA62CA" w14:paraId="79FFAA82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0F93B9A" w14:textId="77777777" w:rsidR="0060365D" w:rsidRPr="00AA62CA" w:rsidRDefault="0060365D" w:rsidP="001761C5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547079DB" w14:textId="6ACEA424" w:rsidR="0060365D" w:rsidRPr="00AA62CA" w:rsidRDefault="00BB024D" w:rsidP="001761C5">
            <w:pPr>
              <w:pStyle w:val="affff4"/>
            </w:pPr>
            <w:r>
              <w:rPr>
                <w:lang w:val="en-US"/>
              </w:rPr>
              <w:t>ADDRXNODE</w:t>
            </w:r>
            <w:r w:rsidR="0060365D">
              <w:rPr>
                <w:lang w:val="en-US"/>
              </w:rPr>
              <w:t>RAM</w:t>
            </w:r>
            <w:r w:rsidR="0060365D" w:rsidRPr="00AA62CA">
              <w:t xml:space="preserve"> ГБ</w:t>
            </w:r>
          </w:p>
        </w:tc>
      </w:tr>
      <w:tr w:rsidR="0060365D" w:rsidRPr="00AA62CA" w14:paraId="26CE38D7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03D4944" w14:textId="77777777" w:rsidR="0060365D" w:rsidRPr="00AA62CA" w:rsidRDefault="0060365D" w:rsidP="001761C5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2A30A247" w14:textId="6E430883" w:rsidR="0060365D" w:rsidRPr="00AA62CA" w:rsidRDefault="00BB024D" w:rsidP="001761C5">
            <w:pPr>
              <w:pStyle w:val="affff4"/>
            </w:pPr>
            <w:r>
              <w:rPr>
                <w:lang w:val="en-US"/>
              </w:rPr>
              <w:t>ADDRXNODE</w:t>
            </w:r>
            <w:r w:rsidR="0060365D">
              <w:rPr>
                <w:lang w:val="en-US"/>
              </w:rPr>
              <w:t>HDD</w:t>
            </w:r>
            <w:r w:rsidR="0060365D" w:rsidRPr="00AA62CA">
              <w:t xml:space="preserve"> ГБ для операционной системы </w:t>
            </w:r>
          </w:p>
        </w:tc>
      </w:tr>
      <w:tr w:rsidR="0060365D" w:rsidRPr="00AA62CA" w14:paraId="2512434D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06748AD" w14:textId="77777777" w:rsidR="0060365D" w:rsidRPr="00AA62CA" w:rsidRDefault="0060365D" w:rsidP="001761C5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55BF402" w14:textId="77777777" w:rsidR="0060365D" w:rsidRPr="00AA62CA" w:rsidRDefault="0060365D" w:rsidP="001761C5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53ACBE6D" w14:textId="77777777" w:rsidR="0060365D" w:rsidRPr="00AA62CA" w:rsidRDefault="0060365D" w:rsidP="001761C5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60365D" w:rsidRPr="00AA62CA" w14:paraId="67EDA266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8ACA36F" w14:textId="77777777" w:rsidR="0060365D" w:rsidRPr="00AA62CA" w:rsidRDefault="0060365D" w:rsidP="001761C5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2206B796" w14:textId="77777777" w:rsidR="0060365D" w:rsidRPr="00AA62CA" w:rsidRDefault="0060365D" w:rsidP="001761C5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76BDBC4C" w14:textId="77777777" w:rsidR="0060365D" w:rsidRPr="00AA62CA" w:rsidRDefault="0060365D" w:rsidP="001761C5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60365D" w:rsidRPr="00F25C38" w14:paraId="6940165E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27C0763" w14:textId="77777777" w:rsidR="0060365D" w:rsidRPr="00AA62CA" w:rsidRDefault="0060365D" w:rsidP="001761C5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0B341CC3" w14:textId="51C90CB5" w:rsidR="0060365D" w:rsidRPr="00F25C38" w:rsidRDefault="00BB024D" w:rsidP="001761C5">
            <w:pPr>
              <w:pStyle w:val="affff4"/>
            </w:pPr>
            <w:r>
              <w:rPr>
                <w:lang w:val="en-US"/>
              </w:rPr>
              <w:t>ADDRXNODE</w:t>
            </w:r>
            <w:r w:rsidR="0060365D">
              <w:rPr>
                <w:lang w:val="en-US"/>
              </w:rPr>
              <w:t>COUNT</w:t>
            </w:r>
          </w:p>
        </w:tc>
      </w:tr>
    </w:tbl>
    <w:p w14:paraId="34A41C61" w14:textId="77777777" w:rsidR="005D680A" w:rsidRPr="005B73FB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Style w:val="ve-pasteprotect"/>
          <w:rFonts w:ascii="Arial" w:hAnsi="Arial" w:cs="Arial"/>
          <w:sz w:val="18"/>
          <w:szCs w:val="18"/>
        </w:rPr>
        <w:t>*</w:t>
      </w:r>
      <w:r w:rsidRPr="005B73FB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77777777" w:rsidR="005D680A" w:rsidRDefault="00095CA8">
      <w:pPr>
        <w:pStyle w:val="affff2"/>
        <w:rPr>
          <w:rFonts w:cs="Arial"/>
          <w:sz w:val="18"/>
          <w:szCs w:val="18"/>
        </w:rPr>
      </w:pPr>
      <w:r w:rsidRPr="005B73FB">
        <w:rPr>
          <w:rFonts w:cs="Arial"/>
          <w:sz w:val="18"/>
          <w:szCs w:val="18"/>
        </w:rPr>
        <w:t xml:space="preserve">** - для сервисов </w:t>
      </w:r>
      <w:r w:rsidRPr="005B73FB">
        <w:rPr>
          <w:rFonts w:cs="Arial"/>
          <w:sz w:val="18"/>
          <w:szCs w:val="18"/>
          <w:lang w:val="en-US"/>
        </w:rPr>
        <w:t>Ario</w:t>
      </w:r>
      <w:r w:rsidRPr="005B73FB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5B73FB">
        <w:rPr>
          <w:rFonts w:cs="Arial"/>
          <w:sz w:val="18"/>
          <w:szCs w:val="18"/>
          <w:lang w:val="en-US"/>
        </w:rPr>
        <w:t>AVX</w:t>
      </w:r>
      <w:r w:rsidRPr="005B73FB">
        <w:rPr>
          <w:rFonts w:cs="Arial"/>
          <w:sz w:val="18"/>
          <w:szCs w:val="18"/>
        </w:rPr>
        <w:t>/</w:t>
      </w:r>
      <w:r w:rsidRPr="005B73FB">
        <w:rPr>
          <w:rFonts w:cs="Arial"/>
          <w:sz w:val="18"/>
          <w:szCs w:val="18"/>
          <w:lang w:val="en-US"/>
        </w:rPr>
        <w:t>AVX</w:t>
      </w:r>
      <w:r w:rsidRPr="005B73FB">
        <w:rPr>
          <w:rFonts w:cs="Arial"/>
          <w:sz w:val="18"/>
          <w:szCs w:val="18"/>
        </w:rPr>
        <w:t>2 инструкций.</w:t>
      </w:r>
    </w:p>
    <w:p w14:paraId="657FEC57" w14:textId="77777777" w:rsidR="005D680A" w:rsidRDefault="00095CA8">
      <w:pPr>
        <w:pStyle w:val="3"/>
      </w:pPr>
      <w:bookmarkStart w:id="32" w:name="_Toc158645796"/>
      <w:r>
        <w:t>Суммарный объем вычислительных ресурсов продуктивного контура</w:t>
      </w:r>
      <w:bookmarkEnd w:id="3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r>
              <w:rPr>
                <w:lang w:val="en-US"/>
              </w:rPr>
              <w:t>UnitsCPU</w:t>
            </w:r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r>
              <w:t>UnitsRAM</w:t>
            </w:r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3" w:name="_Toc72932353"/>
      <w:bookmarkStart w:id="34" w:name="_Toc158645797"/>
      <w:r>
        <w:t>Расчет дискового хранилища продуктивного контура</w:t>
      </w:r>
      <w:bookmarkEnd w:id="33"/>
      <w:bookmarkEnd w:id="34"/>
    </w:p>
    <w:p w14:paraId="0D249873" w14:textId="77777777" w:rsidR="005D680A" w:rsidRDefault="00095CA8">
      <w:pPr>
        <w:pStyle w:val="3"/>
      </w:pPr>
      <w:bookmarkStart w:id="35" w:name="_Toc72932354"/>
      <w:bookmarkStart w:id="36" w:name="_Toc158645798"/>
      <w:r>
        <w:t>Расчет хранилища для тел документов (файловое хранилище)</w:t>
      </w:r>
      <w:bookmarkEnd w:id="35"/>
      <w:bookmarkEnd w:id="36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4C9AC4F8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704B8E8C" w:rsidR="005D680A" w:rsidRDefault="00095CA8">
            <w:pPr>
              <w:pStyle w:val="affff4"/>
            </w:pPr>
            <w:r>
              <w:t>~ FStorageSize</w:t>
            </w:r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295E2955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r>
              <w:t>StorageSize</w:t>
            </w:r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</w:rPr>
        <w:t>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7" w:name="_Расчет_хранилища_для"/>
      <w:bookmarkStart w:id="38" w:name="_Toc72932355"/>
      <w:bookmarkStart w:id="39" w:name="_Toc158645799"/>
      <w:bookmarkEnd w:id="37"/>
      <w:r>
        <w:t>Расчет хранилища для файлов баз данных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16F15E78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~ SQLStorageSize</w:t>
            </w:r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69EEFB96" w:rsidR="005D680A" w:rsidRDefault="00095CA8">
            <w:pPr>
              <w:pStyle w:val="affff4"/>
            </w:pPr>
            <w:r>
              <w:t xml:space="preserve">~ </w:t>
            </w:r>
            <w:r>
              <w:rPr>
                <w:lang w:val="en-US"/>
              </w:rPr>
              <w:t>SQLResStorageSize</w:t>
            </w:r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Default="00095CA8">
      <w:pPr>
        <w:pStyle w:val="3"/>
      </w:pPr>
      <w:bookmarkStart w:id="40" w:name="_Дисковые_хранилища"/>
      <w:bookmarkStart w:id="41" w:name="_Toc72932356"/>
      <w:bookmarkStart w:id="42" w:name="_Toc158645800"/>
      <w:bookmarkEnd w:id="40"/>
      <w:r>
        <w:t>Дисковые хранилища</w:t>
      </w:r>
      <w:bookmarkEnd w:id="41"/>
      <w:bookmarkEnd w:id="42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08458E78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не менее FastStorageSize</w:t>
            </w:r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1427FCA3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в среднем </w:t>
            </w:r>
            <w:r w:rsidR="005B73FB">
              <w:rPr>
                <w:rFonts w:cs="Arial"/>
                <w:color w:val="000000"/>
                <w:lang w:val="en-US"/>
              </w:rPr>
              <w:t>SearchIndexSize</w:t>
            </w:r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5B73FB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596E3298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не менее MidStorageSize</w:t>
            </w:r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</w:p>
        </w:tc>
        <w:tc>
          <w:tcPr>
            <w:tcW w:w="893" w:type="pct"/>
          </w:tcPr>
          <w:p w14:paraId="785F912D" w14:textId="464EA271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641297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77777777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>Разделы для кворума СУБД.</w:t>
            </w:r>
          </w:p>
        </w:tc>
        <w:tc>
          <w:tcPr>
            <w:tcW w:w="893" w:type="pct"/>
          </w:tcPr>
          <w:p w14:paraId="2953F064" w14:textId="0726AB2F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</w:p>
        </w:tc>
        <w:tc>
          <w:tcPr>
            <w:tcW w:w="2461" w:type="pct"/>
          </w:tcPr>
          <w:p w14:paraId="1439EB3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0D009FD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50EC79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низконагруженных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74A68728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не менее SlowStorageSize</w:t>
            </w:r>
          </w:p>
        </w:tc>
        <w:tc>
          <w:tcPr>
            <w:tcW w:w="2461" w:type="pct"/>
          </w:tcPr>
          <w:p w14:paraId="2DA95AD7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3" w:name="_Toc505789195"/>
      <w:bookmarkStart w:id="44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5" w:name="_Toc158645801"/>
      <w:r>
        <w:t>Требования к каналам связи</w:t>
      </w:r>
      <w:bookmarkEnd w:id="43"/>
      <w:bookmarkEnd w:id="44"/>
      <w:bookmarkEnd w:id="45"/>
    </w:p>
    <w:p w14:paraId="68ACC15C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5B73FB">
        <w:rPr>
          <w:rStyle w:val="affff8"/>
          <w:sz w:val="20"/>
          <w:szCs w:val="20"/>
        </w:rPr>
        <w:t>менее 1 Г</w:t>
      </w:r>
      <w:r>
        <w:rPr>
          <w:rStyle w:val="affff8"/>
          <w:sz w:val="20"/>
          <w:szCs w:val="20"/>
        </w:rPr>
        <w:t>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6" w:name="_Toc16089407"/>
      <w:bookmarkStart w:id="47" w:name="_Toc16514637"/>
      <w:bookmarkStart w:id="48" w:name="_Toc17272585"/>
      <w:bookmarkStart w:id="49" w:name="_Toc18422413"/>
      <w:bookmarkStart w:id="50" w:name="_Toc24127776"/>
      <w:bookmarkStart w:id="51" w:name="_Toc28275236"/>
      <w:bookmarkStart w:id="52" w:name="_Toc28597806"/>
      <w:bookmarkStart w:id="53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4" w:name="_Toc158645802"/>
      <w:r>
        <w:rPr>
          <w:rStyle w:val="affff8"/>
          <w:sz w:val="28"/>
          <w:szCs w:val="20"/>
        </w:rPr>
        <w:t>Минимальные требования к узлам контура разработки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78F96775" w14:textId="77777777" w:rsidR="005D680A" w:rsidRDefault="00095CA8">
      <w:pPr>
        <w:pStyle w:val="20"/>
      </w:pPr>
      <w:bookmarkStart w:id="55" w:name="_Toc11316549"/>
      <w:bookmarkStart w:id="56" w:name="_Toc16089408"/>
      <w:bookmarkStart w:id="57" w:name="_Toc16514638"/>
      <w:bookmarkStart w:id="58" w:name="_Toc17272586"/>
      <w:bookmarkStart w:id="59" w:name="_Toc18422414"/>
      <w:bookmarkStart w:id="60" w:name="_Toc24127777"/>
      <w:bookmarkStart w:id="61" w:name="_Toc28275237"/>
      <w:bookmarkStart w:id="62" w:name="_Toc28597807"/>
      <w:bookmarkStart w:id="63" w:name="_Toc72932359"/>
      <w:bookmarkStart w:id="64" w:name="_Toc158645803"/>
      <w:r>
        <w:t>Рекомендации по ресурсам в разрезе узлов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b/>
                <w:color w:val="000000"/>
                <w:sz w:val="22"/>
                <w:lang w:val="en-US"/>
              </w:rPr>
              <w:t>Directum 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BB024D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6C9ABC1F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3.7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072FE34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MongoDB 4.2;</w:t>
            </w:r>
          </w:p>
          <w:p w14:paraId="532FEC7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4.6.1 SDK;</w:t>
            </w:r>
          </w:p>
          <w:p w14:paraId="709090B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4.8 SDK;</w:t>
            </w:r>
          </w:p>
          <w:p w14:paraId="750C8861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SDK 6.0;</w:t>
            </w:r>
          </w:p>
          <w:p w14:paraId="7CD8F19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Internet Information Service 7.5 и выше.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>
              <w:t xml:space="preserve"> </w:t>
            </w:r>
            <w:r>
              <w:rPr>
                <w:lang w:val="en-US"/>
              </w:rPr>
              <w:t>Windows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2012/2012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77777777" w:rsidR="005D680A" w:rsidRDefault="00095CA8">
            <w:pPr>
              <w:pStyle w:val="affff4"/>
              <w:rPr>
                <w:color w:val="000000"/>
              </w:rPr>
            </w:pPr>
            <w:r>
              <w:t>5 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BB024D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DE936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6DD626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061524A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742C9B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6E5FD03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BB024D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5" w:name="_Toc16089409"/>
      <w:bookmarkStart w:id="66" w:name="_Toc16514639"/>
      <w:bookmarkStart w:id="67" w:name="_Toc17272587"/>
      <w:bookmarkStart w:id="68" w:name="_Toc18422415"/>
      <w:bookmarkStart w:id="69" w:name="_Toc24127778"/>
      <w:bookmarkStart w:id="70" w:name="_Toc28275238"/>
      <w:bookmarkStart w:id="71" w:name="_Toc28597808"/>
      <w:bookmarkStart w:id="72" w:name="_Toc72932360"/>
      <w:bookmarkStart w:id="73" w:name="_Toc158645804"/>
      <w:r>
        <w:rPr>
          <w:rStyle w:val="affff8"/>
          <w:sz w:val="28"/>
          <w:szCs w:val="20"/>
        </w:rPr>
        <w:t>Минимальные требования к узлам тестового контура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9878FC0" w14:textId="77777777" w:rsidR="005D680A" w:rsidRDefault="00095CA8">
      <w:pPr>
        <w:pStyle w:val="20"/>
      </w:pPr>
      <w:bookmarkStart w:id="74" w:name="_Toc11316547"/>
      <w:bookmarkStart w:id="75" w:name="_Toc16089410"/>
      <w:bookmarkStart w:id="76" w:name="_Toc16514640"/>
      <w:bookmarkStart w:id="77" w:name="_Toc17272588"/>
      <w:bookmarkStart w:id="78" w:name="_Toc18422416"/>
      <w:bookmarkStart w:id="79" w:name="_Toc24127779"/>
      <w:bookmarkStart w:id="80" w:name="_Toc28275239"/>
      <w:bookmarkStart w:id="81" w:name="_Toc28597809"/>
      <w:bookmarkStart w:id="82" w:name="_Toc72932361"/>
      <w:bookmarkStart w:id="83" w:name="_Toc158645805"/>
      <w:r>
        <w:t>Рекомендации по ресурсам в разрезе узлов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Directum 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BB024D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7D54D1D7" w14:textId="77777777" w:rsidR="005D680A" w:rsidRDefault="005D680A">
            <w:pPr>
              <w:pStyle w:val="affff4"/>
            </w:pPr>
          </w:p>
          <w:p w14:paraId="3A0323F6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3.8.1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25875BC7" w14:textId="77777777" w:rsidR="005D680A" w:rsidRDefault="005D680A">
            <w:pPr>
              <w:pStyle w:val="affff4"/>
              <w:rPr>
                <w:color w:val="000000"/>
                <w:lang w:val="en-US"/>
              </w:rPr>
            </w:pPr>
          </w:p>
          <w:p w14:paraId="54D898B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 Engine 19.03-25.0.4;</w:t>
            </w:r>
          </w:p>
          <w:p w14:paraId="14687463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645B8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3BCDA63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5B6D9D16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  <w:p w14:paraId="1730356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 (</w:t>
            </w:r>
            <w:r>
              <w:rPr>
                <w:rStyle w:val="affff8"/>
                <w:sz w:val="20"/>
                <w:szCs w:val="20"/>
              </w:rPr>
              <w:t>для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t>РЕД</w:t>
            </w:r>
            <w:r>
              <w:rPr>
                <w:lang w:val="en-US"/>
              </w:rPr>
              <w:t xml:space="preserve"> </w:t>
            </w:r>
            <w:r>
              <w:t>ОС</w:t>
            </w:r>
            <w:r>
              <w:rPr>
                <w:lang w:val="en-US"/>
              </w:rPr>
              <w:t xml:space="preserve"> 7.3</w:t>
            </w:r>
            <w:r>
              <w:rPr>
                <w:rStyle w:val="affff8"/>
                <w:sz w:val="20"/>
                <w:szCs w:val="20"/>
                <w:lang w:val="en-US"/>
              </w:rPr>
              <w:t>).</w:t>
            </w:r>
          </w:p>
          <w:p w14:paraId="2F7E67AC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1F5BF97E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5989D521" w14:textId="77777777" w:rsidR="005D680A" w:rsidRDefault="00095CA8">
            <w:pPr>
              <w:pStyle w:val="affff4"/>
              <w:rPr>
                <w:color w:val="000000"/>
              </w:rPr>
            </w:pPr>
            <w:r>
              <w:t>1</w:t>
            </w:r>
          </w:p>
        </w:tc>
      </w:tr>
      <w:tr w:rsidR="005D680A" w:rsidRPr="005B73FB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 xml:space="preserve">Узел сервисов </w:t>
            </w:r>
            <w:r w:rsidRPr="005B73FB">
              <w:rPr>
                <w:b/>
                <w:color w:val="000000"/>
                <w:sz w:val="22"/>
                <w:lang w:val="en-US"/>
              </w:rPr>
              <w:t>Directum Ario</w:t>
            </w:r>
          </w:p>
        </w:tc>
      </w:tr>
      <w:tr w:rsidR="005D680A" w:rsidRPr="005B73FB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Процессор*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color w:val="000000"/>
                <w:lang w:val="en-US"/>
              </w:rPr>
              <w:t>8</w:t>
            </w:r>
            <w:r w:rsidRPr="005B73FB">
              <w:rPr>
                <w:color w:val="000000"/>
              </w:rPr>
              <w:t xml:space="preserve"> </w:t>
            </w:r>
            <w:r w:rsidRPr="005B73FB">
              <w:rPr>
                <w:color w:val="000000"/>
                <w:lang w:val="en-US"/>
              </w:rPr>
              <w:t>vCPU</w:t>
            </w:r>
            <w:r w:rsidRPr="005B73FB">
              <w:rPr>
                <w:color w:val="000000"/>
              </w:rPr>
              <w:t xml:space="preserve"> виртуальных ядер</w:t>
            </w:r>
            <w:r w:rsidRPr="005B73FB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5B73FB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Оперативная память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20</w:t>
            </w:r>
            <w:r w:rsidRPr="005B73FB">
              <w:t xml:space="preserve"> </w:t>
            </w:r>
            <w:r w:rsidRPr="005B73FB">
              <w:rPr>
                <w:color w:val="000000"/>
              </w:rPr>
              <w:t>ГБ</w:t>
            </w:r>
          </w:p>
        </w:tc>
      </w:tr>
      <w:tr w:rsidR="005D680A" w:rsidRPr="005B73FB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t>Сервисы</w:t>
            </w:r>
            <w:r w:rsidRPr="005B73FB">
              <w:rPr>
                <w:lang w:val="en-US"/>
              </w:rPr>
              <w:t xml:space="preserve"> Directum Ario;</w:t>
            </w:r>
          </w:p>
          <w:p w14:paraId="51ABCFC2" w14:textId="77777777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lang w:val="en-US"/>
              </w:rPr>
              <w:t xml:space="preserve">Docker Engine 20 </w:t>
            </w:r>
            <w:r w:rsidRPr="005B73FB">
              <w:t>и</w:t>
            </w:r>
            <w:r w:rsidRPr="005B73FB">
              <w:rPr>
                <w:lang w:val="en-US"/>
              </w:rPr>
              <w:t xml:space="preserve"> </w:t>
            </w:r>
            <w:r w:rsidRPr="005B73FB">
              <w:t>выше</w:t>
            </w:r>
          </w:p>
          <w:p w14:paraId="474E1653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Docker</w:t>
            </w:r>
            <w:r w:rsidRPr="005B73FB">
              <w:t xml:space="preserve"> </w:t>
            </w:r>
            <w:r w:rsidRPr="005B73FB">
              <w:rPr>
                <w:lang w:val="en-US"/>
              </w:rPr>
              <w:t>Compose</w:t>
            </w:r>
            <w:r w:rsidRPr="005B73FB">
              <w:t xml:space="preserve"> 2.16.0 (устанавливается автоматически)</w:t>
            </w:r>
          </w:p>
          <w:p w14:paraId="19BB479F" w14:textId="77777777" w:rsidR="005D680A" w:rsidRPr="005B73FB" w:rsidRDefault="00095CA8">
            <w:pPr>
              <w:pStyle w:val="affff4"/>
            </w:pPr>
            <w:r w:rsidRPr="005B73FB">
              <w:t xml:space="preserve">СУБД </w:t>
            </w:r>
            <w:r w:rsidRPr="005B73FB">
              <w:rPr>
                <w:lang w:val="en-US"/>
              </w:rPr>
              <w:t>PostgreSQL</w:t>
            </w:r>
            <w:r w:rsidRPr="005B73FB">
              <w:t xml:space="preserve"> 9.6.3/11/12/13/14</w:t>
            </w:r>
          </w:p>
          <w:p w14:paraId="40B74D98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RabbitMQ</w:t>
            </w:r>
            <w:r w:rsidRPr="005B73FB">
              <w:t xml:space="preserve"> 3.8.1 (устанавливается автоматически)</w:t>
            </w:r>
          </w:p>
          <w:p w14:paraId="532887D9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Python</w:t>
            </w:r>
            <w:r w:rsidRPr="005B73FB">
              <w:t xml:space="preserve"> 3.7 и выше</w:t>
            </w:r>
          </w:p>
        </w:tc>
      </w:tr>
      <w:tr w:rsidR="005D680A" w:rsidRPr="005B73FB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 xml:space="preserve">100 </w:t>
            </w:r>
            <w:r w:rsidRPr="005B73FB">
              <w:rPr>
                <w:color w:val="000000"/>
              </w:rPr>
              <w:t>ГБ для операционной системы</w:t>
            </w:r>
          </w:p>
        </w:tc>
      </w:tr>
      <w:tr w:rsidR="005D680A" w:rsidRPr="005B73FB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5B73FB" w:rsidRDefault="00095CA8">
            <w:pPr>
              <w:pStyle w:val="affff4"/>
            </w:pPr>
            <w:r w:rsidRPr="005B73FB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39045CA" w14:textId="0505D96C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5D680A" w:rsidRPr="005B73FB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color w:val="000000"/>
              </w:rPr>
              <w:t>Количество</w:t>
            </w:r>
            <w:r w:rsidRPr="005B73FB">
              <w:rPr>
                <w:color w:val="000000"/>
                <w:lang w:val="en-US"/>
              </w:rPr>
              <w:t xml:space="preserve"> </w:t>
            </w:r>
            <w:r w:rsidRPr="005B73FB">
              <w:rPr>
                <w:color w:val="000000"/>
              </w:rPr>
              <w:t>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1</w:t>
            </w:r>
          </w:p>
        </w:tc>
      </w:tr>
      <w:tr w:rsidR="005D680A" w:rsidRPr="005B73FB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5B73FB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6</w:t>
            </w:r>
            <w:r w:rsidRPr="005B73FB">
              <w:rPr>
                <w:color w:val="000000"/>
              </w:rPr>
              <w:t xml:space="preserve"> </w:t>
            </w:r>
            <w:r w:rsidRPr="005B73FB">
              <w:rPr>
                <w:color w:val="000000"/>
                <w:lang w:val="en-US"/>
              </w:rPr>
              <w:t>vCPU</w:t>
            </w:r>
            <w:r w:rsidRPr="005B73FB">
              <w:rPr>
                <w:color w:val="000000"/>
              </w:rPr>
              <w:t xml:space="preserve"> виртуальных ядер</w:t>
            </w:r>
          </w:p>
        </w:tc>
      </w:tr>
      <w:tr w:rsidR="005D680A" w:rsidRPr="005B73FB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602D5E7B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t xml:space="preserve">16 </w:t>
            </w:r>
            <w:r w:rsidRPr="005B73FB">
              <w:rPr>
                <w:color w:val="000000"/>
              </w:rPr>
              <w:t>ГБ</w:t>
            </w:r>
          </w:p>
        </w:tc>
      </w:tr>
      <w:tr w:rsidR="005D680A" w:rsidRPr="005B73FB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 xml:space="preserve">100 </w:t>
            </w:r>
            <w:r w:rsidRPr="005B73FB">
              <w:rPr>
                <w:color w:val="000000"/>
              </w:rPr>
              <w:t>ГБ для операционной системы</w:t>
            </w:r>
          </w:p>
        </w:tc>
      </w:tr>
      <w:tr w:rsidR="005D680A" w:rsidRPr="005B73FB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5B73FB" w:rsidRDefault="00095CA8">
            <w:pPr>
              <w:pStyle w:val="affff4"/>
            </w:pPr>
            <w:r w:rsidRPr="005B73FB">
              <w:t>Набор сервисов решения «Личный кабинет»</w:t>
            </w:r>
          </w:p>
          <w:p w14:paraId="60B00D20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lang w:val="en-US"/>
              </w:rPr>
              <w:t>Docker</w:t>
            </w:r>
            <w:r w:rsidRPr="005B73FB">
              <w:t xml:space="preserve"> 20.10.</w:t>
            </w:r>
            <w:r w:rsidRPr="005B73FB">
              <w:rPr>
                <w:lang w:val="en-US"/>
              </w:rPr>
              <w:t xml:space="preserve">10 </w:t>
            </w:r>
            <w:r w:rsidRPr="005B73FB">
              <w:t>и выше</w:t>
            </w:r>
          </w:p>
        </w:tc>
      </w:tr>
      <w:tr w:rsidR="005D680A" w:rsidRPr="005B73FB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5B73FB" w:rsidRDefault="00095CA8">
            <w:pPr>
              <w:pStyle w:val="affff4"/>
            </w:pPr>
            <w:r w:rsidRPr="005B73FB">
              <w:t>Операционная система</w:t>
            </w:r>
          </w:p>
        </w:tc>
        <w:tc>
          <w:tcPr>
            <w:tcW w:w="2999" w:type="pct"/>
          </w:tcPr>
          <w:p w14:paraId="57FD0711" w14:textId="69B09F42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</w:tc>
      </w:tr>
      <w:tr w:rsidR="005D680A" w:rsidRPr="005B73FB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>1</w:t>
            </w:r>
          </w:p>
        </w:tc>
      </w:tr>
    </w:tbl>
    <w:p w14:paraId="23DA8B4F" w14:textId="77777777" w:rsidR="005D680A" w:rsidRPr="005B73FB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Style w:val="ve-pasteprotect"/>
          <w:rFonts w:ascii="Arial" w:hAnsi="Arial" w:cs="Arial"/>
          <w:sz w:val="18"/>
          <w:szCs w:val="18"/>
        </w:rPr>
        <w:t>*</w:t>
      </w:r>
      <w:r w:rsidRPr="005B73FB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Fonts w:ascii="Arial" w:hAnsi="Arial" w:cs="Arial"/>
          <w:sz w:val="18"/>
          <w:szCs w:val="18"/>
        </w:rPr>
        <w:t xml:space="preserve">** - для сервисов </w:t>
      </w:r>
      <w:r w:rsidRPr="005B73FB">
        <w:rPr>
          <w:rFonts w:ascii="Arial" w:hAnsi="Arial" w:cs="Arial"/>
          <w:sz w:val="18"/>
          <w:szCs w:val="18"/>
          <w:lang w:val="en-US"/>
        </w:rPr>
        <w:t>Ario</w:t>
      </w:r>
      <w:r w:rsidRPr="005B73FB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5B73FB">
        <w:rPr>
          <w:rFonts w:ascii="Arial" w:hAnsi="Arial" w:cs="Arial"/>
          <w:sz w:val="18"/>
          <w:szCs w:val="18"/>
          <w:lang w:val="en-US"/>
        </w:rPr>
        <w:t>AVX</w:t>
      </w:r>
      <w:r w:rsidRPr="005B73FB">
        <w:rPr>
          <w:rFonts w:ascii="Arial" w:hAnsi="Arial" w:cs="Arial"/>
          <w:sz w:val="18"/>
          <w:szCs w:val="18"/>
        </w:rPr>
        <w:t>/</w:t>
      </w:r>
      <w:r w:rsidRPr="005B73FB">
        <w:rPr>
          <w:rFonts w:ascii="Arial" w:hAnsi="Arial" w:cs="Arial"/>
          <w:sz w:val="18"/>
          <w:szCs w:val="18"/>
          <w:lang w:val="en-US"/>
        </w:rPr>
        <w:t>AVX</w:t>
      </w:r>
      <w:r w:rsidRPr="005B73FB">
        <w:rPr>
          <w:rFonts w:ascii="Arial" w:hAnsi="Arial" w:cs="Arial"/>
          <w:sz w:val="18"/>
          <w:szCs w:val="18"/>
        </w:rPr>
        <w:t>2 инструкций.</w:t>
      </w:r>
    </w:p>
    <w:p w14:paraId="512D75C7" w14:textId="77777777" w:rsidR="005D680A" w:rsidRDefault="005D680A">
      <w:pPr>
        <w:pStyle w:val="affffb"/>
        <w:spacing w:before="0" w:beforeAutospacing="0" w:after="0" w:afterAutospacing="0"/>
        <w:rPr>
          <w:rFonts w:cs="Arial"/>
          <w:sz w:val="18"/>
          <w:szCs w:val="18"/>
        </w:rPr>
      </w:pP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33A76" w14:textId="77777777" w:rsidR="004B4063" w:rsidRDefault="004B4063">
      <w:pPr>
        <w:spacing w:before="0"/>
      </w:pPr>
      <w:r>
        <w:separator/>
      </w:r>
    </w:p>
  </w:endnote>
  <w:endnote w:type="continuationSeparator" w:id="0">
    <w:p w14:paraId="2D65AF87" w14:textId="77777777" w:rsidR="004B4063" w:rsidRDefault="004B40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095CA8" w:rsidRDefault="00095CA8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095CA8" w:rsidRDefault="00095CA8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393DEDC5" w:rsidR="00095CA8" w:rsidRDefault="00095CA8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2F3682">
      <w:rPr>
        <w:rStyle w:val="af8"/>
        <w:rFonts w:ascii="Arial" w:hAnsi="Arial" w:cs="Arial"/>
        <w:noProof/>
        <w:sz w:val="18"/>
        <w:szCs w:val="18"/>
      </w:rPr>
      <w:t>15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095CA8" w:rsidRDefault="00095CA8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095CA8" w:rsidRDefault="00095CA8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DD096" w14:textId="77777777" w:rsidR="004B4063" w:rsidRDefault="004B4063">
      <w:pPr>
        <w:spacing w:before="0"/>
      </w:pPr>
      <w:r>
        <w:separator/>
      </w:r>
    </w:p>
  </w:footnote>
  <w:footnote w:type="continuationSeparator" w:id="0">
    <w:p w14:paraId="396D8BFE" w14:textId="77777777" w:rsidR="004B4063" w:rsidRDefault="004B40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095CA8" w:rsidRDefault="00095CA8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095CA8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095CA8" w14:paraId="45A5FA8A" w14:textId="77777777">
            <w:tc>
              <w:tcPr>
                <w:tcW w:w="5069" w:type="dxa"/>
              </w:tcPr>
              <w:p w14:paraId="0367D7BB" w14:textId="77777777" w:rsidR="00095CA8" w:rsidRDefault="00095CA8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 xmlns:w16du="http://schemas.microsoft.com/office/word/2023/wordml/word16du" xmlns:oel="http://schemas.microsoft.com/office/2019/extlst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095CA8" w:rsidRDefault="00095CA8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095CA8" w:rsidRDefault="00095CA8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095CA8" w:rsidRDefault="00095CA8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095CA8" w:rsidRDefault="00095CA8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095CA8" w:rsidRDefault="00095CA8">
    <w:pPr>
      <w:pStyle w:val="af6"/>
      <w:ind w:right="-283" w:hanging="851"/>
      <w:jc w:val="center"/>
    </w:pPr>
    <w:r>
      <w:rPr>
        <w:noProof/>
        <w:lang w:eastAsia="ru-RU"/>
      </w:rPr>
      <mc:AlternateContent>
        <mc:Choice Requires="wpg">
          <w:drawing>
            <wp:inline distT="0" distB="0" distL="0" distR="0" wp14:anchorId="3EC1AB04" wp14:editId="26CA851C">
              <wp:extent cx="6301105" cy="1036955"/>
              <wp:effectExtent l="0" t="0" r="4445" b="0"/>
              <wp:docPr id="2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301105" cy="1036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496.1pt;height:81.6pt;" stroked="false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6C4A"/>
    <w:rsid w:val="00095CA8"/>
    <w:rsid w:val="000C53AF"/>
    <w:rsid w:val="000F1BD4"/>
    <w:rsid w:val="0010650F"/>
    <w:rsid w:val="001115B5"/>
    <w:rsid w:val="001174AD"/>
    <w:rsid w:val="00154D4B"/>
    <w:rsid w:val="001F3F7D"/>
    <w:rsid w:val="002170F1"/>
    <w:rsid w:val="002767EA"/>
    <w:rsid w:val="002B3B55"/>
    <w:rsid w:val="002E24AB"/>
    <w:rsid w:val="002E2AD0"/>
    <w:rsid w:val="002F3682"/>
    <w:rsid w:val="003026BE"/>
    <w:rsid w:val="003626DB"/>
    <w:rsid w:val="003F6365"/>
    <w:rsid w:val="00417EC4"/>
    <w:rsid w:val="00453012"/>
    <w:rsid w:val="004B4063"/>
    <w:rsid w:val="004E1E79"/>
    <w:rsid w:val="00580376"/>
    <w:rsid w:val="00584624"/>
    <w:rsid w:val="005B73FB"/>
    <w:rsid w:val="005D680A"/>
    <w:rsid w:val="00602796"/>
    <w:rsid w:val="0060365D"/>
    <w:rsid w:val="00645DA4"/>
    <w:rsid w:val="00660013"/>
    <w:rsid w:val="00671CC5"/>
    <w:rsid w:val="00705ECA"/>
    <w:rsid w:val="0078275A"/>
    <w:rsid w:val="007D4690"/>
    <w:rsid w:val="007E1A2F"/>
    <w:rsid w:val="0085236B"/>
    <w:rsid w:val="008634D2"/>
    <w:rsid w:val="009563E6"/>
    <w:rsid w:val="009A7F3D"/>
    <w:rsid w:val="009E6DC3"/>
    <w:rsid w:val="00A15D5D"/>
    <w:rsid w:val="00AB4CA1"/>
    <w:rsid w:val="00B42257"/>
    <w:rsid w:val="00B808DA"/>
    <w:rsid w:val="00BB024D"/>
    <w:rsid w:val="00D425DF"/>
    <w:rsid w:val="00DD5577"/>
    <w:rsid w:val="00E81ED6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8" Type="http://schemas.onlyoffice.com/peopleDocument" Target="peopleDocument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7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F1B40976-79C7-4AF3-B9B5-D620530C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4336</Words>
  <Characters>24719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28998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Biryukov_PV@DIRECTUM.ru</dc:creator>
  <cp:lastModifiedBy>gergert_as</cp:lastModifiedBy>
  <cp:revision>448</cp:revision>
  <dcterms:created xsi:type="dcterms:W3CDTF">2019-09-27T13:29:00Z</dcterms:created>
  <dcterms:modified xsi:type="dcterms:W3CDTF">2024-11-25T11:38:00Z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