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b w:val="1"/>
          <w:bCs w:val="1"/>
          <w:color w:val="ff0000"/>
          <w:sz w:val="54"/>
          <w:szCs w:val="54"/>
          <w:rtl w:val="0"/>
        </w:rPr>
        <w:t xml:space="preserve">Capstone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SIGLAS Y SECCIÓN: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005D</w:t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LA SEDE: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Antonio Varas</w:t>
      </w:r>
    </w:p>
    <w:p w:rsidR="00000000" w:rsidDel="00000000" w:rsidP="00000000" w:rsidRDefault="00000000" w:rsidRPr="00000000" w14:paraId="00000006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/>
      </w:pPr>
      <w:bookmarkStart w:colFirst="0" w:colLast="0" w:name="_heading=h.lt6ecjtg9c8l" w:id="0"/>
      <w:bookmarkEnd w:id="0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Informe de Cierre de Sprint / Release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Integrantes: </w:t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Emilio Rubina</w:t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Fabian Fernández</w:t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Benjamín González</w:t>
      </w:r>
    </w:p>
    <w:p w:rsidR="00000000" w:rsidDel="00000000" w:rsidP="00000000" w:rsidRDefault="00000000" w:rsidRPr="00000000" w14:paraId="0000000D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Profesor:</w:t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jc w:val="center"/>
        <w:rPr>
          <w:sz w:val="24"/>
          <w:szCs w:val="24"/>
          <w:u w:val="single"/>
        </w:rPr>
      </w:pP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CINDY BETZABE CONTADOR CISTERNA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17/11/2025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0839482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rxee1xk8lj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1.Resumen General del Release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zq022eajr7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Resumen de Sprints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8soc9fohhi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3.Entregables Finales del Release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822opaw5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Métricas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swpuoepdge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5.Riesgos y Consideraciones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rlaqma50tn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Retrospectiva del Release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xzuqjgfsb8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7. Próximos Pasos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hq3wuc7kl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Conclusiones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yrxee1xk8ljm" w:id="1"/>
      <w:bookmarkEnd w:id="1"/>
      <w:r w:rsidDel="00000000" w:rsidR="00000000" w:rsidRPr="00000000">
        <w:rPr>
          <w:rtl w:val="0"/>
        </w:rPr>
        <w:t xml:space="preserve">1.Resumen General del Release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61.0" w:type="dxa"/>
        <w:jc w:val="left"/>
        <w:tblLayout w:type="fixed"/>
        <w:tblLook w:val="0400"/>
      </w:tblPr>
      <w:tblGrid>
        <w:gridCol w:w="1703"/>
        <w:gridCol w:w="8058"/>
        <w:tblGridChange w:id="0">
          <w:tblGrid>
            <w:gridCol w:w="1703"/>
            <w:gridCol w:w="8058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1.0.0 (Entrega Final Funcional)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Duración del Release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 meses (6 sprints de 2 semanas cada uno)</w:t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Objetivo del Release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Entregar una aplicación móvil funcional que permita la gestión de rutinas personalizadas, registro de progreso, recordatorios y conexión entrenador-cliente.</w:t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Estado final del Release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Completado con éxito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Fecha de cierre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10 de noviembre de 2025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t99lqr7m44a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tzq022eajr79" w:id="3"/>
      <w:bookmarkEnd w:id="3"/>
      <w:r w:rsidDel="00000000" w:rsidR="00000000" w:rsidRPr="00000000">
        <w:rPr>
          <w:rtl w:val="0"/>
        </w:rPr>
        <w:t xml:space="preserve">2. Resumen de Sprints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341.000000000002" w:type="dxa"/>
        <w:jc w:val="left"/>
        <w:tblInd w:w="-719.0" w:type="dxa"/>
        <w:tblLayout w:type="fixed"/>
        <w:tblLook w:val="0400"/>
      </w:tblPr>
      <w:tblGrid>
        <w:gridCol w:w="993"/>
        <w:gridCol w:w="1433"/>
        <w:gridCol w:w="2592"/>
        <w:gridCol w:w="1454"/>
        <w:gridCol w:w="1566"/>
        <w:gridCol w:w="1524"/>
        <w:gridCol w:w="1779"/>
        <w:tblGridChange w:id="0">
          <w:tblGrid>
            <w:gridCol w:w="993"/>
            <w:gridCol w:w="1433"/>
            <w:gridCol w:w="2592"/>
            <w:gridCol w:w="1454"/>
            <w:gridCol w:w="1566"/>
            <w:gridCol w:w="1524"/>
            <w:gridCol w:w="1779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Objetivo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Puntos Planificados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Puntos Completados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 Cumplimiento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11 - 24 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del entorno de desarrollo y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Ago - 7 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Coach / Perfil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8 - 21 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Rutinas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 Sep - 5 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 y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6 - 19 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Infraestructura y MTTO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Oct - 2 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 y cierre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Los seis sprints fueron completados con una evolución constante del rendimiento del equipo. La curva de velocidad se estabilizó desde el Sprint 3, mostrando una mejor estimación de tareas y gestión de tiempo. El cumplimiento promedio se mantuvo sobre el 100%, demostrando consistencia y madurez del proceso ágil. 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heading=h.plwi2f1zq83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heading=h.v8soc9fohhi9" w:id="5"/>
      <w:bookmarkEnd w:id="5"/>
      <w:r w:rsidDel="00000000" w:rsidR="00000000" w:rsidRPr="00000000">
        <w:rPr>
          <w:rtl w:val="0"/>
        </w:rPr>
        <w:t xml:space="preserve">3.Entregables Finales del Release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Todos los entregables fueron verificados por el equipo QA y cumplen con los criterios definidos en las Historias de Usuario. La documentación técnica fue validada por el Scrum Master antes de la entrega final. 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61.0" w:type="dxa"/>
        <w:jc w:val="left"/>
        <w:tblLayout w:type="fixed"/>
        <w:tblLook w:val="0400"/>
      </w:tblPr>
      <w:tblGrid>
        <w:gridCol w:w="3758"/>
        <w:gridCol w:w="4707"/>
        <w:gridCol w:w="1296"/>
        <w:tblGridChange w:id="0">
          <w:tblGrid>
            <w:gridCol w:w="3758"/>
            <w:gridCol w:w="4707"/>
            <w:gridCol w:w="12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Entregable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App móvil Rayostrength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Aplicación funcional desarrollada en React Native + Expo.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Conexión con Firebase y Google Sheets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base de datos y carga de rutinas en tiempo real.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Registro y Login de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Flujo completo con validaciones.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Gestión de rutinas y progreso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Módulos para usuario y entrenador.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push y recordatorios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alertas automáticas.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técnica (Modelo 4+1, BDD, ERD)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Diagramas y scripts SQL completos.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Testing QA y Matriz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funcionalidades y criterios de aceptación.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heading=h.jc822opaw50" w:id="6"/>
      <w:bookmarkEnd w:id="6"/>
      <w:r w:rsidDel="00000000" w:rsidR="00000000" w:rsidRPr="00000000">
        <w:rPr>
          <w:rtl w:val="0"/>
        </w:rPr>
        <w:t xml:space="preserve">4. Métricas del Proyecto</w:t>
      </w:r>
    </w:p>
    <w:tbl>
      <w:tblPr>
        <w:tblStyle w:val="Table4"/>
        <w:tblW w:w="9761.0" w:type="dxa"/>
        <w:jc w:val="left"/>
        <w:tblLayout w:type="fixed"/>
        <w:tblLook w:val="0400"/>
      </w:tblPr>
      <w:tblGrid>
        <w:gridCol w:w="2757"/>
        <w:gridCol w:w="3059"/>
        <w:gridCol w:w="3945"/>
        <w:tblGridChange w:id="0">
          <w:tblGrid>
            <w:gridCol w:w="2757"/>
            <w:gridCol w:w="3059"/>
            <w:gridCol w:w="3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Velocidad promedio del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24 pts /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Mantuvo estabilidad con leve mejora final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% de historias completadas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Solo se postergaron tareas menores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Bugs críticos encontrados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Todos solucionados antes del cierre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Retrasos detectados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 sprint con retraso menor (&lt;2 días)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 afectó entregas finales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Nivel de satisfacción del 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Alta conformidad con usabilidad y rendimiento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El equipo mostró una mejora constante en su capacidad de respuesta ante imprevistos, manteniendo un equilibrio entre calidad y velocidad de entrega. Los indicadores reflejan una correcta aplicación de la metodología ágil.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heading=h.htbm03q9v8i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heading=h.8er0f7c6bwy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heading=h.4xhl0q8fc5m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heading=h.tbh8q6tteh7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heading=h.2byqosauvdj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heading=h.8bbgxzb3i5h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heading=h.4swpuoepdgef" w:id="13"/>
      <w:bookmarkEnd w:id="13"/>
      <w:r w:rsidDel="00000000" w:rsidR="00000000" w:rsidRPr="00000000">
        <w:rPr>
          <w:rtl w:val="0"/>
        </w:rPr>
        <w:t xml:space="preserve">5.Riesgos y Consideraciones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heading=h.3zbws5qabv4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heading=h.9pngx35zd8g7" w:id="15"/>
      <w:bookmarkEnd w:id="15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-619124</wp:posOffset>
            </wp:positionH>
            <wp:positionV relativeFrom="paragraph">
              <wp:posOffset>295264</wp:posOffset>
            </wp:positionV>
            <wp:extent cx="7713442" cy="2993130"/>
            <wp:effectExtent b="0" l="0" r="0" t="0"/>
            <wp:wrapNone/>
            <wp:docPr id="16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442" cy="2993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heading=h.nk2mnadggsc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heading=h.1gqfj4v4bh3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heading=h.s4nu828lipv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heading=h.ociiopg1bf5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heading=h.nvrq1e2ul87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heading=h.rjiq3ger57c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heading=h.xjmjlrrkbzs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heading=h.6r0xjnw5hd8f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heading=h.a3ji4d70zn37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heading=h.ux4caultkohb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heading=h.czi3986cqneh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heading=h.3yvmhajn25h7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heading=h.36b1id80mwk6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eading=h.wrlaqma50tnp" w:id="29"/>
      <w:bookmarkEnd w:id="29"/>
      <w:r w:rsidDel="00000000" w:rsidR="00000000" w:rsidRPr="00000000">
        <w:rPr>
          <w:rtl w:val="0"/>
        </w:rPr>
        <w:t xml:space="preserve">6. Retrospectiva del Release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Aspectos Positivos:</w:t>
        <w:br w:type="textWrapping"/>
        <w:t xml:space="preserve"> Buena coordinación entre equipo de desarrollo y QA.</w:t>
        <w:br w:type="textWrapping"/>
        <w:t xml:space="preserve"> Entregas consistentes dentro de los tiempos.</w:t>
        <w:br w:type="textWrapping"/>
        <w:t xml:space="preserve"> Comunicación fluida vía Jira y reuniones diarias.</w:t>
        <w:br w:type="textWrapping"/>
        <w:t xml:space="preserve"> Feedback del cliente incorporado efectivamente.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Aspectos a Mejorar:</w:t>
        <w:br w:type="textWrapping"/>
        <w:t xml:space="preserve"> Ajustar la estimación inicial de tareas más grandes.</w:t>
        <w:br w:type="textWrapping"/>
        <w:t xml:space="preserve"> Implementar pruebas automatizadas desde etapas tempranas.</w:t>
        <w:br w:type="textWrapping"/>
        <w:t xml:space="preserve"> Documentar mejor las dependencias externas (Google API).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Conclusión de la Retrospectiva: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El equipo ha mostrado madurez en la adopción de Scrum, fortaleciendo la colaboración y la autogestión. La comunicación y la transparencia fueron claves para alcanzar los resultados obtenidos. 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heading=h.9xzuqjgfsb8o" w:id="30"/>
      <w:bookmarkEnd w:id="30"/>
      <w:r w:rsidDel="00000000" w:rsidR="00000000" w:rsidRPr="00000000">
        <w:rPr>
          <w:rtl w:val="0"/>
        </w:rPr>
        <w:t xml:space="preserve"> 7. Próximos Pasos</w:t>
      </w:r>
    </w:p>
    <w:tbl>
      <w:tblPr>
        <w:tblStyle w:val="Table5"/>
        <w:tblW w:w="9214.0" w:type="dxa"/>
        <w:jc w:val="left"/>
        <w:tblLayout w:type="fixed"/>
        <w:tblLook w:val="0400"/>
      </w:tblPr>
      <w:tblGrid>
        <w:gridCol w:w="1625"/>
        <w:gridCol w:w="6030"/>
        <w:gridCol w:w="1559"/>
        <w:tblGridChange w:id="0">
          <w:tblGrid>
            <w:gridCol w:w="1625"/>
            <w:gridCol w:w="6030"/>
            <w:gridCol w:w="1559"/>
          </w:tblGrid>
        </w:tblGridChange>
      </w:tblGrid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9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Corregir pequeños errores visuales detectados post-lanzamiento.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9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Mejoras futuras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Integrar módulo de nutrición y recomendaciones inteligentes.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9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Evaluar integración con sistema web administrativo.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Líder Técnico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heading=h.rdhq3wuc7klp" w:id="31"/>
      <w:bookmarkEnd w:id="31"/>
      <w:r w:rsidDel="00000000" w:rsidR="00000000" w:rsidRPr="00000000">
        <w:rPr>
          <w:rtl w:val="0"/>
        </w:rPr>
        <w:t xml:space="preserve">8. Conclusiones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El Sprint 6 marca el cierre general del proyecto Rayostrength, consolidando todas las funcionalidades planificadas y entregando una versión funcional, estable y documentada.</w:t>
        <w:br w:type="textWrapping"/>
        <w:t xml:space="preserve">Las funcionalidades principales (registro, rutinas, progreso, videollamadas, notificaciones) fueron implementadas exitosamente.</w:t>
        <w:br w:type="textWrapping"/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Las incidencias menores detectadas se registraron para resolución en la etapa de mantenimiento post-entrega.</w:t>
        <w:br w:type="textWrapping"/>
        <w:t xml:space="preserve">El resultado final cumple los objetivos definidos por el cliente y la visión del producto.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first"/>
      <w:pgSz w:h="15840" w:w="12240" w:orient="portrait"/>
      <w:pgMar w:bottom="1417" w:top="1134" w:left="1134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widowControl w:val="0"/>
      <w:tabs>
        <w:tab w:val="center" w:leader="none" w:pos="4320"/>
        <w:tab w:val="right" w:leader="none" w:pos="8640"/>
      </w:tabs>
      <w:spacing w:after="0" w:line="240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34926</wp:posOffset>
              </wp:positionV>
              <wp:extent cx="5772150" cy="69850"/>
              <wp:effectExtent b="0" l="0" r="0" t="0"/>
              <wp:wrapNone/>
              <wp:docPr id="16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34926</wp:posOffset>
              </wp:positionV>
              <wp:extent cx="5772150" cy="69850"/>
              <wp:effectExtent b="0" l="0" r="0" t="0"/>
              <wp:wrapNone/>
              <wp:docPr id="16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72150" cy="69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5">
    <w:pPr>
      <w:widowControl w:val="0"/>
      <w:tabs>
        <w:tab w:val="center" w:leader="none" w:pos="4320"/>
        <w:tab w:val="right" w:leader="none" w:pos="8640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Capstone Rubina-González-Fernández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-619118</wp:posOffset>
          </wp:positionH>
          <wp:positionV relativeFrom="paragraph">
            <wp:posOffset>-335273</wp:posOffset>
          </wp:positionV>
          <wp:extent cx="2609850" cy="787718"/>
          <wp:effectExtent b="0" l="0" r="0" t="0"/>
          <wp:wrapNone/>
          <wp:docPr id="17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09850" cy="78771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7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7"/>
    <w:tblPr>
      <w:tblStyleRowBandSize w:val="1"/>
      <w:tblStyleColBandSize w:val="1"/>
    </w:tblPr>
  </w:style>
  <w:style w:type="table" w:styleId="a7" w:customStyle="1">
    <w:basedOn w:val="TableNormal7"/>
    <w:tblPr>
      <w:tblStyleRowBandSize w:val="1"/>
      <w:tblStyleColBandSize w:val="1"/>
    </w:tblPr>
  </w:style>
  <w:style w:type="table" w:styleId="a8" w:customStyle="1">
    <w:basedOn w:val="TableNormal7"/>
    <w:tblPr>
      <w:tblStyleRowBandSize w:val="1"/>
      <w:tblStyleColBandSize w:val="1"/>
    </w:tblPr>
  </w:style>
  <w:style w:type="table" w:styleId="a9" w:customStyle="1">
    <w:basedOn w:val="TableNormal7"/>
    <w:tblPr>
      <w:tblStyleRowBandSize w:val="1"/>
      <w:tblStyleColBandSize w:val="1"/>
    </w:tblPr>
  </w:style>
  <w:style w:type="table" w:styleId="aa" w:customStyle="1">
    <w:basedOn w:val="TableNormal7"/>
    <w:pPr>
      <w:spacing w:after="0" w:line="240" w:lineRule="auto"/>
    </w:pPr>
    <w:tblPr>
      <w:tblStyleRowBandSize w:val="1"/>
      <w:tblStyleColBandSize w:val="1"/>
      <w:tblCellMar>
        <w:top w:w="44.0" w:type="dxa"/>
        <w:right w:w="23.0" w:type="dxa"/>
      </w:tblCellMar>
    </w:tblPr>
  </w:style>
  <w:style w:type="table" w:styleId="ab" w:customStyle="1">
    <w:basedOn w:val="TableNormal7"/>
    <w:tblPr>
      <w:tblStyleRowBandSize w:val="1"/>
      <w:tblStyleColBandSize w:val="1"/>
    </w:tblPr>
  </w:style>
  <w:style w:type="table" w:styleId="ac" w:customStyle="1">
    <w:basedOn w:val="TableNormal7"/>
    <w:tblPr>
      <w:tblStyleRowBandSize w:val="1"/>
      <w:tblStyleColBandSize w:val="1"/>
    </w:tblPr>
  </w:style>
  <w:style w:type="table" w:styleId="ad" w:customStyle="1">
    <w:basedOn w:val="TableNormal7"/>
    <w:tblPr>
      <w:tblStyleRowBandSize w:val="1"/>
      <w:tblStyleColBandSize w:val="1"/>
    </w:tblPr>
  </w:style>
  <w:style w:type="table" w:styleId="ae" w:customStyle="1">
    <w:basedOn w:val="TableNormal7"/>
    <w:tblPr>
      <w:tblStyleRowBandSize w:val="1"/>
      <w:tblStyleColBandSize w:val="1"/>
    </w:tblPr>
  </w:style>
  <w:style w:type="table" w:styleId="af" w:customStyle="1">
    <w:basedOn w:val="TableNormal7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 w:val="1"/>
    <w:qFormat w:val="1"/>
    <w:rsid w:val="00EA190E"/>
    <w:pPr>
      <w:outlineLvl w:val="9"/>
    </w:pPr>
    <w:rPr>
      <w:rFonts w:asciiTheme="majorHAnsi" w:cstheme="majorBidi" w:eastAsiaTheme="majorEastAsia" w:hAnsiTheme="majorHAnsi"/>
      <w:color w:val="365f91" w:themeColor="accent1" w:themeShade="0000BF"/>
      <w:lang w:val="es-MX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EA190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EA190E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campusvirtual.duoc.cl/ultra/courses/_640454_1/outline/roster/edit/_21279805_1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aDDxzyKPdXvHayaTGv5QPzHHvA==">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2025-11-16T21:54:00Z</dcterms:created>
  <dc:creator>EMILIO RUBINA SALINAS</dc:creator>
</cp:coreProperties>
</file>