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Sunhaven Care IAM Version 6 Operating and Technical Report</w:t>
      </w:r>
    </w:p>
    <w:p>
      <w:r>
        <w:rPr>
          <w:b/>
        </w:rPr>
        <w:t>Integrated synthetic workforce governance prototype</w:t>
      </w:r>
    </w:p>
    <w:p>
      <w:r>
        <w:t>Purpose and scope. This report explains how to run and demonstrate Sunhaven Care IAM, what each control does, and which results are verified. The project is a runnable laboratory prototype with fictional staff and residents. It is suitable for a solo demonstration of the full workflow. It does not establish live Microsoft Entra or Graph operation, production deployment, or formal healthcare compliance.</w:t>
      </w:r>
    </w:p>
    <w:p>
      <w:pPr>
        <w:pStyle w:val="Heading1"/>
      </w:pPr>
      <w:r>
        <w:t>At a glance</w:t>
      </w:r>
    </w:p>
    <w:tbl>
      <w:tblPr>
        <w:tblW w:type="auto" w:w="0"/>
        <w:jc w:val="center"/>
        <w:tblLayout w:type="fixed"/>
        <w:tblLook w:firstColumn="1" w:firstRow="1" w:lastColumn="0" w:lastRow="0" w:noHBand="0" w:noVBand="1" w:val="04A0"/>
      </w:tblPr>
      <w:tblGrid>
        <w:gridCol w:w="3245"/>
        <w:gridCol w:w="3245"/>
        <w:gridCol w:w="3245"/>
      </w:tblGrid>
      <w:tr>
        <w:trPr>
          <w:tblHeader/>
        </w:trPr>
        <w:tc>
          <w:tcPr>
            <w:tcW w:type="dxa" w:w="1987"/>
            <w:vAlign w:val="center"/>
            <w:shd w:fill="243E3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69" w:lineRule="auto"/>
            </w:pPr>
            <w:r>
              <w:rPr>
                <w:b/>
                <w:color w:val="FFFFFF"/>
                <w:sz w:val="18"/>
              </w:rPr>
              <w:t>Area</w:t>
            </w:r>
          </w:p>
        </w:tc>
        <w:tc>
          <w:tcPr>
            <w:tcW w:type="dxa" w:w="3816"/>
            <w:vAlign w:val="center"/>
            <w:shd w:fill="243E3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69" w:lineRule="auto"/>
            </w:pPr>
            <w:r>
              <w:rPr>
                <w:b/>
                <w:color w:val="FFFFFF"/>
                <w:sz w:val="18"/>
              </w:rPr>
              <w:t>Working demonstration</w:t>
            </w:r>
          </w:p>
        </w:tc>
        <w:tc>
          <w:tcPr>
            <w:tcW w:type="dxa" w:w="3888"/>
            <w:vAlign w:val="center"/>
            <w:shd w:fill="243E3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69" w:lineRule="auto"/>
            </w:pPr>
            <w:r>
              <w:rPr>
                <w:b/>
                <w:color w:val="FFFFFF"/>
                <w:sz w:val="18"/>
              </w:rPr>
              <w:t>Current boundary</w:t>
            </w:r>
          </w:p>
        </w:tc>
      </w:tr>
      <w:tr>
        <w:tc>
          <w:tcPr>
            <w:tcW w:type="dxa" w:w="19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69" w:lineRule="auto"/>
            </w:pPr>
            <w:r>
              <w:rPr>
                <w:b w:val="0"/>
                <w:color w:val="232F2B"/>
                <w:sz w:val="18"/>
              </w:rPr>
              <w:t>Workforce lifecycle</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69" w:lineRule="auto"/>
            </w:pPr>
            <w:r>
              <w:rPr>
                <w:b w:val="0"/>
                <w:color w:val="232F2B"/>
                <w:sz w:val="18"/>
              </w:rPr>
              <w:t>Validated Joiner, approved Mover, Leaver and agency-expiry automation</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69" w:lineRule="auto"/>
            </w:pPr>
            <w:r>
              <w:rPr>
                <w:b w:val="0"/>
                <w:color w:val="232F2B"/>
                <w:sz w:val="18"/>
              </w:rPr>
              <w:t>Cloud state is simulated</w:t>
            </w:r>
          </w:p>
        </w:tc>
      </w:tr>
      <w:tr>
        <w:tc>
          <w:tcPr>
            <w:tcW w:type="dxa" w:w="1987"/>
            <w:vAlign w:val="center"/>
            <w:shd w:fill="F1F6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69" w:lineRule="auto"/>
            </w:pPr>
            <w:r>
              <w:rPr>
                <w:b w:val="0"/>
                <w:color w:val="232F2B"/>
                <w:sz w:val="18"/>
              </w:rPr>
              <w:t>Access control</w:t>
            </w:r>
          </w:p>
        </w:tc>
        <w:tc>
          <w:tcPr>
            <w:tcW w:type="dxa" w:w="3816"/>
            <w:vAlign w:val="center"/>
            <w:shd w:fill="F1F6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69" w:lineRule="auto"/>
            </w:pPr>
            <w:r>
              <w:rPr>
                <w:b w:val="0"/>
                <w:color w:val="232F2B"/>
                <w:sz w:val="18"/>
              </w:rPr>
              <w:t>Server role, facility, resident assignment and session checks</w:t>
            </w:r>
          </w:p>
        </w:tc>
        <w:tc>
          <w:tcPr>
            <w:tcW w:type="dxa" w:w="3888"/>
            <w:vAlign w:val="center"/>
            <w:shd w:fill="F1F6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69" w:lineRule="auto"/>
            </w:pPr>
            <w:r>
              <w:rPr>
                <w:b w:val="0"/>
                <w:color w:val="232F2B"/>
                <w:sz w:val="18"/>
              </w:rPr>
              <w:t>Manager scope spans all facilities</w:t>
            </w:r>
          </w:p>
        </w:tc>
      </w:tr>
      <w:tr>
        <w:tc>
          <w:tcPr>
            <w:tcW w:type="dxa" w:w="19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69" w:lineRule="auto"/>
            </w:pPr>
            <w:r>
              <w:rPr>
                <w:b w:val="0"/>
                <w:color w:val="232F2B"/>
                <w:sz w:val="18"/>
              </w:rPr>
              <w:t>Assurance</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69" w:lineRule="auto"/>
            </w:pPr>
            <w:r>
              <w:rPr>
                <w:b w:val="0"/>
                <w:color w:val="232F2B"/>
                <w:sz w:val="18"/>
              </w:rPr>
              <w:t>C01–C08 checks, threat model, MFA-sequence findings and signed audit ledger</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69" w:lineRule="auto"/>
            </w:pPr>
            <w:r>
              <w:rPr>
                <w:b w:val="0"/>
                <w:color w:val="232F2B"/>
                <w:sz w:val="18"/>
              </w:rPr>
              <w:t>No live tenant or device feed</w:t>
            </w:r>
          </w:p>
        </w:tc>
      </w:tr>
      <w:tr>
        <w:tc>
          <w:tcPr>
            <w:tcW w:type="dxa" w:w="1987"/>
            <w:vAlign w:val="center"/>
            <w:shd w:fill="F1F6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69" w:lineRule="auto"/>
            </w:pPr>
            <w:r>
              <w:rPr>
                <w:b w:val="0"/>
                <w:color w:val="232F2B"/>
                <w:sz w:val="18"/>
              </w:rPr>
              <w:t>Evidence</w:t>
            </w:r>
          </w:p>
        </w:tc>
        <w:tc>
          <w:tcPr>
            <w:tcW w:type="dxa" w:w="3816"/>
            <w:vAlign w:val="center"/>
            <w:shd w:fill="F1F6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69" w:lineRule="auto"/>
            </w:pPr>
            <w:r>
              <w:rPr>
                <w:b w:val="0"/>
                <w:color w:val="232F2B"/>
                <w:sz w:val="18"/>
              </w:rPr>
              <w:t>Reviews, remediation, logs, CSV and filtered PDF reports</w:t>
            </w:r>
          </w:p>
        </w:tc>
        <w:tc>
          <w:tcPr>
            <w:tcW w:type="dxa" w:w="3888"/>
            <w:vAlign w:val="center"/>
            <w:shd w:fill="F1F6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69" w:lineRule="auto"/>
            </w:pPr>
            <w:r>
              <w:rPr>
                <w:b w:val="0"/>
                <w:color w:val="232F2B"/>
                <w:sz w:val="18"/>
              </w:rPr>
              <w:t>Synthetic records only</w:t>
            </w:r>
          </w:p>
        </w:tc>
      </w:tr>
    </w:tbl>
    <w:p>
      <w:pPr>
        <w:spacing w:after="0"/>
      </w:pPr>
    </w:p>
    <w:p>
      <w:pPr>
        <w:pStyle w:val="Heading1"/>
      </w:pPr>
      <w:r>
        <w:t>Start and verify</w:t>
      </w:r>
    </w:p>
    <w:p>
      <w:pPr>
        <w:pStyle w:val="ListNumber"/>
      </w:pPr>
      <w:r>
        <w:t>Extract the complete ZIP. In the sunhaven_care_iam folder run python run.py, or python3 run.py on Linux or macOS. Windows users can start with start_windows.bat.</w:t>
      </w:r>
    </w:p>
    <w:p>
      <w:pPr>
        <w:pStyle w:val="ListNumber"/>
      </w:pPr>
      <w:r>
        <w:t>Open http://127.0.0.1:8000. Select Ivy Chen for operator access, Daniel Lee for management, Omar Rahman for auditing, or Mia Patel for a restricted care-worker view. Demo selection is password-free and must remain local.</w:t>
      </w:r>
    </w:p>
    <w:p>
      <w:pPr>
        <w:pStyle w:val="ListNumber"/>
      </w:pPr>
      <w:r>
        <w:t>Run python -m unittest discover -s tests -v to reproduce the 47 passing automated tests. Stop the server with Ctrl+C. Data is stored under data/sunhaven.db.</w:t>
      </w:r>
    </w:p>
    <w:p>
      <w:pPr>
        <w:pStyle w:val="Heading1"/>
      </w:pPr>
      <w:r>
        <w:t>Roles and daily operation</w:t>
      </w:r>
    </w:p>
    <w:tbl>
      <w:tblPr>
        <w:tblW w:type="auto" w:w="0"/>
        <w:jc w:val="center"/>
        <w:tblLayout w:type="fixed"/>
        <w:tblLook w:firstColumn="1" w:firstRow="1" w:lastColumn="0" w:lastRow="0" w:noHBand="0" w:noVBand="1" w:val="04A0"/>
      </w:tblPr>
      <w:tblGrid>
        <w:gridCol w:w="4867"/>
        <w:gridCol w:w="4867"/>
      </w:tblGrid>
      <w:tr>
        <w:trPr>
          <w:tblHeader/>
        </w:trPr>
        <w:tc>
          <w:tcPr>
            <w:tcW w:type="dxa" w:w="2592"/>
            <w:vAlign w:val="center"/>
            <w:shd w:fill="243E3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69" w:lineRule="auto"/>
            </w:pPr>
            <w:r>
              <w:rPr>
                <w:b/>
                <w:color w:val="FFFFFF"/>
                <w:sz w:val="18"/>
              </w:rPr>
              <w:t>Role</w:t>
            </w:r>
          </w:p>
        </w:tc>
        <w:tc>
          <w:tcPr>
            <w:tcW w:type="dxa" w:w="7099"/>
            <w:vAlign w:val="center"/>
            <w:shd w:fill="243E3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69" w:lineRule="auto"/>
            </w:pPr>
            <w:r>
              <w:rPr>
                <w:b/>
                <w:color w:val="FFFFFF"/>
                <w:sz w:val="18"/>
              </w:rPr>
              <w:t>Typical capability</w:t>
            </w:r>
          </w:p>
        </w:tc>
      </w:tr>
      <w:tr>
        <w:tc>
          <w:tcPr>
            <w:tcW w:type="dxa" w:w="2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69" w:lineRule="auto"/>
            </w:pPr>
            <w:r>
              <w:rPr>
                <w:b w:val="0"/>
                <w:color w:val="232F2B"/>
                <w:sz w:val="18"/>
              </w:rPr>
              <w:t>CareWorker / AgencyWorker</w:t>
            </w:r>
          </w:p>
        </w:tc>
        <w:tc>
          <w:tcPr>
            <w:tcW w:type="dxa" w:w="70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69" w:lineRule="auto"/>
            </w:pPr>
            <w:r>
              <w:rPr>
                <w:b w:val="0"/>
                <w:color w:val="232F2B"/>
                <w:sz w:val="18"/>
              </w:rPr>
              <w:t>Assigned residents, own access requests and reminders</w:t>
            </w:r>
          </w:p>
        </w:tc>
      </w:tr>
      <w:tr>
        <w:tc>
          <w:tcPr>
            <w:tcW w:type="dxa" w:w="2592"/>
            <w:vAlign w:val="center"/>
            <w:shd w:fill="F1F6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69" w:lineRule="auto"/>
            </w:pPr>
            <w:r>
              <w:rPr>
                <w:b w:val="0"/>
                <w:color w:val="232F2B"/>
                <w:sz w:val="18"/>
              </w:rPr>
              <w:t>Nurse</w:t>
            </w:r>
          </w:p>
        </w:tc>
        <w:tc>
          <w:tcPr>
            <w:tcW w:type="dxa" w:w="7099"/>
            <w:vAlign w:val="center"/>
            <w:shd w:fill="F1F6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69" w:lineRule="auto"/>
            </w:pPr>
            <w:r>
              <w:rPr>
                <w:b w:val="0"/>
                <w:color w:val="232F2B"/>
                <w:sz w:val="18"/>
              </w:rPr>
              <w:t>Same-facility resident and clinical views</w:t>
            </w:r>
          </w:p>
        </w:tc>
      </w:tr>
      <w:tr>
        <w:tc>
          <w:tcPr>
            <w:tcW w:type="dxa" w:w="2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69" w:lineRule="auto"/>
            </w:pPr>
            <w:r>
              <w:rPr>
                <w:b w:val="0"/>
                <w:color w:val="232F2B"/>
                <w:sz w:val="18"/>
              </w:rPr>
              <w:t>Manager</w:t>
            </w:r>
          </w:p>
        </w:tc>
        <w:tc>
          <w:tcPr>
            <w:tcW w:type="dxa" w:w="70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69" w:lineRule="auto"/>
            </w:pPr>
            <w:r>
              <w:rPr>
                <w:b w:val="0"/>
                <w:color w:val="232F2B"/>
                <w:sz w:val="18"/>
              </w:rPr>
              <w:t>Reviews, authorised approvals, policy and assurance views</w:t>
            </w:r>
          </w:p>
        </w:tc>
      </w:tr>
      <w:tr>
        <w:tc>
          <w:tcPr>
            <w:tcW w:type="dxa" w:w="2592"/>
            <w:vAlign w:val="center"/>
            <w:shd w:fill="F1F6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69" w:lineRule="auto"/>
            </w:pPr>
            <w:r>
              <w:rPr>
                <w:b w:val="0"/>
                <w:color w:val="232F2B"/>
                <w:sz w:val="18"/>
              </w:rPr>
              <w:t>Auditor</w:t>
            </w:r>
          </w:p>
        </w:tc>
        <w:tc>
          <w:tcPr>
            <w:tcW w:type="dxa" w:w="7099"/>
            <w:vAlign w:val="center"/>
            <w:shd w:fill="F1F6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69" w:lineRule="auto"/>
            </w:pPr>
            <w:r>
              <w:rPr>
                <w:b w:val="0"/>
                <w:color w:val="232F2B"/>
                <w:sz w:val="18"/>
              </w:rPr>
              <w:t>Read-only governance, audit and assurance views</w:t>
            </w:r>
          </w:p>
        </w:tc>
      </w:tr>
      <w:tr>
        <w:tc>
          <w:tcPr>
            <w:tcW w:type="dxa" w:w="2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69" w:lineRule="auto"/>
            </w:pPr>
            <w:r>
              <w:rPr>
                <w:b w:val="0"/>
                <w:color w:val="232F2B"/>
                <w:sz w:val="18"/>
              </w:rPr>
              <w:t>IAMOperator</w:t>
            </w:r>
          </w:p>
        </w:tc>
        <w:tc>
          <w:tcPr>
            <w:tcW w:type="dxa" w:w="709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69" w:lineRule="auto"/>
            </w:pPr>
            <w:r>
              <w:rPr>
                <w:b w:val="0"/>
                <w:color w:val="232F2B"/>
                <w:sz w:val="18"/>
              </w:rPr>
              <w:t>JML, approved change execution, assignments, sessions and agency expiry</w:t>
            </w:r>
          </w:p>
        </w:tc>
      </w:tr>
    </w:tbl>
    <w:p>
      <w:pPr>
        <w:spacing w:after="0"/>
      </w:pPr>
    </w:p>
    <w:p>
      <w:r>
        <w:t>Use Dashboard to inspect role counts and filter the chart by facility. The global search accepts at least two characters; pressing / focuses its box. Theme selection persists in the browser. Workers see only their own requests in search and notifications. Notifications are computed when the page opens; marking one read does not resolve the issue.</w:t>
      </w:r>
    </w:p>
    <w:p>
      <w:pPr>
        <w:pStyle w:val="Heading1"/>
      </w:pPr>
      <w:r>
        <w:t>Workforce lifecycle</w:t>
      </w:r>
    </w:p>
    <w:p>
      <w:r>
        <w:t>Joiner: Employees, New Joiner, complete the approved role, facility, dates and sponsor where relevant, then preview the dry run before creation. Validation rejects duplicate and incomplete identities. Examine the final state and correlated audit record.</w:t>
      </w:r>
    </w:p>
    <w:p>
      <w:r>
        <w:t>Mover: Preview the proposed change on the worker profile. Submit an access request as the worker; another authorised person decides. An IAM operator executes an approved request while it is current and the worker state still matches the approval snapshot. The operation replaces the old role, removes assignments and revokes local sessions. Direct Mover application is blocked.</w:t>
      </w:r>
    </w:p>
    <w:p>
      <w:r>
        <w:t>Leaver: Process Leaver from the profile. The local workflow clears roles and assignments, revokes sessions, disables simulated cloud state and blocks portal access. Test a denied page afterwards to show layered local enforcement.</w:t>
      </w:r>
    </w:p>
    <w:p>
      <w:pPr>
        <w:pStyle w:val="Heading1"/>
      </w:pPr>
      <w:r>
        <w:t>Reviewed agency expiry automation</w:t>
      </w:r>
    </w:p>
    <w:p>
      <w:r>
        <w:t>Automation lists expired active agency workers and those due within 14 days. An IAM operator reviews the current list and supplies a reason. The server recalculates the list at submission, then atomically suspends the expired workers, disables simulated directory access, removes role and resident assignments, revokes local sessions, blocks sign-in and records actor, targets and audit events. A repeat run performs no duplicate removals. Managers and auditors can preview but cannot execute.</w:t>
      </w:r>
    </w:p>
    <w:p>
      <w:r>
        <w:t>For terminal operation, run python manage.py expire-agency to preview. To apply in the local development and mock-directory lab, run python manage.py expire-agency --apply --actor-id SC1005 --reason "Daily contract expiry reviewed". A trusted OS task can invoke that command on a schedule. The web workflow provides visible operator review; neither path calls Microsoft Graph.</w:t>
      </w:r>
    </w:p>
    <w:p>
      <w:pPr>
        <w:pStyle w:val="Heading1"/>
      </w:pPr>
      <w:r>
        <w:t>Access review and policy controls</w:t>
      </w:r>
    </w:p>
    <w:p>
      <w:r>
        <w:t>Managers record Retain, Change, Remove or Temporary Exception decisions with reasons; unresolved changes enter the remediation register. The policy checker compares approved local workforce and simulated directory state using rules C01–C08. Policies &amp; risks maps ten control IDs P01–P10 to seven risk IDs R01–R07, owners, tests, evidence and residual gaps. Notifications flag reviews older than 90 days.</w:t>
      </w:r>
    </w:p>
    <w:p>
      <w:pPr>
        <w:pStyle w:val="Heading1"/>
      </w:pPr>
      <w:r>
        <w:t>Security analysis and evidence integrity</w:t>
      </w:r>
    </w:p>
    <w:p>
      <w:r>
        <w:t>Security assurance shows six controlled threat scenarios: stolen credentials, shared session, former worker, excessive privilege, privileged compromise and unmanaged device. Some outcomes use live synthetic workforce and assignment state; MFA policy, device trust and privileged-account takeover remain open. These scores are a model, not an attack on a live tenant.</w:t>
      </w:r>
    </w:p>
    <w:p>
      <w:r>
        <w:t>The MFA detector accepts already sanitised, fictional sign-in events. It distinguishes denied, success, challenge, timeout and unknown failure, then searches five-minute identity windows for repeated denial, prompt burst and denial-to-success. Findings state their rule, severity, event IDs and reason. Run python -m security_workstream.demo --output demo-evidence for controlled JSON, CSV and HTML evidence. The newest findings also appear on Security assurance.</w:t>
      </w:r>
    </w:p>
    <w:p>
      <w:r>
        <w:t>Committed portal audit records, including protected-page access allowed and denied, are mirrored into a SHA-256 chain signed with HMAC. The verifier checks event order, original audit rows and a separate signed head checkpoint. The ledger, key and checkpoint form one evidence set. A changed event, removed tail or missing key produces FAIL. This is a local tamper-evident demonstration, not immutable off-host storage.</w:t>
      </w:r>
    </w:p>
    <w:p>
      <w:pPr>
        <w:pStyle w:val="Heading1"/>
      </w:pPr>
      <w:r>
        <w:t>Data, security and recovery</w:t>
      </w:r>
    </w:p>
    <w:p>
      <w:r>
        <w:t>The SQLite database contains 42 fictional workers, 30 residents and 35 seeded notes. The server uses bound queries, escaped HTML, CSRF tokens for forms, role checks and a 15-minute local session. Sensitive log keys are redacted. Backup with python manage.py backup backups/sunhaven-copy.db after stopping writers; the command copies ledger key and checkpoint sidecars when present. Restore the matching set together. The signing key is never included in the distributable ZIP.</w:t>
      </w:r>
    </w:p>
    <w:p>
      <w:pPr>
        <w:pStyle w:val="Heading1"/>
      </w:pPr>
      <w:r>
        <w:t>Verification and limitations</w:t>
      </w:r>
    </w:p>
    <w:p>
      <w:r>
        <w:t>Forty-seven automated tests pass, covering lifecycle rules, direct-access denial, approvals, CSRF, governance transactions, PDF and CSV behaviour, MFA pattern boundaries, signed-ledger tamper checks, and reviewed expiry execution. Local HTTP checks cover the principal pages and export route. Interactive browser and mobile acceptance, Entra tenant sign-in, real Graph write-back, managed-device signals, hosted TLS, restore drills and scale have not been validated in the target environment.</w:t>
      </w:r>
    </w:p>
    <w:p>
      <w:r>
        <w:t>The original proposal named Flask and Graph PowerShell; this prototype runs on the Python standard-library server and retains a Python Graph adapter in mock mode. Explain that implementation choice and test scope in any assessed report. The current code must be presented as a laboratory proof of concept, never as certified production software or evidence that a live identity tenant was changed.</w:t>
      </w:r>
    </w:p>
    <w:sectPr w:rsidR="00FC693F" w:rsidRPr="0006063C" w:rsidSect="00034616">
      <w:footerReference w:type="default" r:id="rId9"/>
      <w:pgSz w:w="12240" w:h="15840"/>
      <w:pgMar w:top="1123" w:right="1253" w:bottom="1037"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F6A"/>
        <w:sz w:val="16"/>
      </w:rPr>
      <w:t>Sunhaven Care IAM 6.0  |  Laboratory operating and technical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ptos" w:hAnsi="Aptos"/>
      <w:color w:val="232F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