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Sunhaven Care IAM</w:t>
      </w:r>
    </w:p>
    <w:p>
      <w:pPr>
        <w:pStyle w:val="Subtitle"/>
      </w:pPr>
      <w:r>
        <w:t>Operating and technical guide</w:t>
      </w:r>
    </w:p>
    <w:p>
      <w:r>
        <w:t>Version 3.0 | 24 September 2026</w:t>
      </w:r>
    </w:p>
    <w:p>
      <w:r>
        <w:t>This guide explains how to operate the workforce access portal, administer its governance workflows, and maintain its Python application and SQLite database. It is intended for project operators, managers, auditors and developers.</w:t>
      </w:r>
    </w:p>
    <w:p>
      <w:r>
        <w:t>Version 3 adds approval-controlled role changes, resident assignment administration, session revocation, remediation tasks and review closure. These controls are implemented for a simulated directory. The application is suitable for a controlled demonstration; it has not been certified or validated for live healthcare operations.</w:t>
      </w:r>
    </w:p>
    <w:p>
      <w:pPr>
        <w:pStyle w:val="Heading2"/>
      </w:pPr>
      <w:r>
        <w:t>Start here</w:t>
      </w:r>
    </w:p>
    <w:p>
      <w:r>
        <w:t>Extract the project ZIP. Open the sunhaven_care_iam folder, double-click start_windows.bat, then browse to http://127.0.0.1:8000. Choose Ivy Chen for the IAM operator demonstration. Python 3.10 or later is required. No password or external package is required for the local demo.</w:t>
      </w:r>
    </w:p>
    <w:p>
      <w:pPr>
        <w:pStyle w:val="Heading2"/>
      </w:pPr>
      <w:r>
        <w:t>Guide map</w:t>
      </w:r>
    </w:p>
    <w:tbl>
      <w:tblPr>
        <w:tblW w:type="auto" w:w="0"/>
        <w:tblLayout w:type="fixed"/>
        <w:tblLook w:firstColumn="1" w:firstRow="1" w:lastColumn="0" w:lastRow="0" w:noHBand="0" w:noVBand="1" w:val="04A0"/>
      </w:tblPr>
      <w:tblGrid>
        <w:gridCol w:w="1008"/>
        <w:gridCol w:w="8784"/>
      </w:tblGrid>
      <w:tr>
        <w:trPr>
          <w:tblHeader/>
        </w:trPr>
        <w:tc>
          <w:tcPr>
            <w:tcW w:type="dxa" w:w="4968"/>
            <w:shd w:fill="24435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color w:val="FFFFFF"/>
                <w:sz w:val="18"/>
              </w:rPr>
              <w:t>Section</w:t>
            </w:r>
          </w:p>
        </w:tc>
        <w:tc>
          <w:tcPr>
            <w:tcW w:type="dxa" w:w="4968"/>
            <w:shd w:fill="24435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color w:val="FFFFFF"/>
                <w:sz w:val="18"/>
              </w:rPr>
              <w:t>Purpose</w:t>
            </w:r>
          </w:p>
        </w:tc>
      </w:tr>
      <w:tr>
        <w:tc>
          <w:tcPr>
            <w:tcW w:type="dxa" w:w="1008"/>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1</w:t>
            </w:r>
          </w:p>
        </w:tc>
        <w:tc>
          <w:tcPr>
            <w:tcW w:type="dxa" w:w="8784"/>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Installation and first sign in</w:t>
            </w:r>
          </w:p>
        </w:tc>
      </w:tr>
      <w:tr>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2</w:t>
            </w:r>
          </w:p>
        </w:tc>
        <w:tc>
          <w:tcPr>
            <w:tcW w:type="dxa" w:w="87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Permissions and navigation</w:t>
            </w:r>
          </w:p>
        </w:tc>
      </w:tr>
      <w:tr>
        <w:tc>
          <w:tcPr>
            <w:tcW w:type="dxa" w:w="1008"/>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3</w:t>
            </w:r>
          </w:p>
        </w:tc>
        <w:tc>
          <w:tcPr>
            <w:tcW w:type="dxa" w:w="8784"/>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Workers and lifecycle management</w:t>
            </w:r>
          </w:p>
        </w:tc>
      </w:tr>
      <w:tr>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4</w:t>
            </w:r>
          </w:p>
        </w:tc>
        <w:tc>
          <w:tcPr>
            <w:tcW w:type="dxa" w:w="87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Access requests and controlled execution</w:t>
            </w:r>
          </w:p>
        </w:tc>
      </w:tr>
      <w:tr>
        <w:tc>
          <w:tcPr>
            <w:tcW w:type="dxa" w:w="1008"/>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5</w:t>
            </w:r>
          </w:p>
        </w:tc>
        <w:tc>
          <w:tcPr>
            <w:tcW w:type="dxa" w:w="8784"/>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Residents and operational notes</w:t>
            </w:r>
          </w:p>
        </w:tc>
      </w:tr>
      <w:tr>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6</w:t>
            </w:r>
          </w:p>
        </w:tc>
        <w:tc>
          <w:tcPr>
            <w:tcW w:type="dxa" w:w="87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Reviews and remediation</w:t>
            </w:r>
          </w:p>
        </w:tc>
      </w:tr>
      <w:tr>
        <w:tc>
          <w:tcPr>
            <w:tcW w:type="dxa" w:w="1008"/>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7</w:t>
            </w:r>
          </w:p>
        </w:tc>
        <w:tc>
          <w:tcPr>
            <w:tcW w:type="dxa" w:w="8784"/>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Security operations and evidence</w:t>
            </w:r>
          </w:p>
        </w:tc>
      </w:tr>
      <w:tr>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8</w:t>
            </w:r>
          </w:p>
        </w:tc>
        <w:tc>
          <w:tcPr>
            <w:tcW w:type="dxa" w:w="87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Application architecture and security</w:t>
            </w:r>
          </w:p>
        </w:tc>
      </w:tr>
      <w:tr>
        <w:tc>
          <w:tcPr>
            <w:tcW w:type="dxa" w:w="1008"/>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9</w:t>
            </w:r>
          </w:p>
        </w:tc>
        <w:tc>
          <w:tcPr>
            <w:tcW w:type="dxa" w:w="8784"/>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Deployment and recovery</w:t>
            </w:r>
          </w:p>
        </w:tc>
      </w:tr>
      <w:tr>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10</w:t>
            </w:r>
          </w:p>
        </w:tc>
        <w:tc>
          <w:tcPr>
            <w:tcW w:type="dxa" w:w="87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Verification and known limits</w:t>
            </w:r>
          </w:p>
        </w:tc>
      </w:tr>
      <w:tr>
        <w:tc>
          <w:tcPr>
            <w:tcW w:type="dxa" w:w="1008"/>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11</w:t>
            </w:r>
          </w:p>
        </w:tc>
        <w:tc>
          <w:tcPr>
            <w:tcW w:type="dxa" w:w="8784"/>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Database and route reference</w:t>
            </w:r>
          </w:p>
        </w:tc>
      </w:tr>
      <w:tr>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12</w:t>
            </w:r>
          </w:p>
        </w:tc>
        <w:tc>
          <w:tcPr>
            <w:tcW w:type="dxa" w:w="87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Web interface and maintenance reference</w:t>
            </w:r>
          </w:p>
        </w:tc>
      </w:tr>
    </w:tbl>
    <w:p/>
    <w:p>
      <w:r>
        <w:br w:type="page"/>
      </w:r>
    </w:p>
    <w:p>
      <w:pPr>
        <w:pStyle w:val="Heading1"/>
      </w:pPr>
      <w:r>
        <w:t>1 Installation and first sign in</w:t>
      </w:r>
    </w:p>
    <w:p>
      <w:pPr>
        <w:pStyle w:val="Heading2"/>
      </w:pPr>
      <w:r>
        <w:t>Local installation</w:t>
      </w:r>
    </w:p>
    <w:p>
      <w:r>
        <w:t>1. Install Python 3.10 or later and enable its PATH option on Windows. Extract the complete ZIP rather than opening files inside the archive.</w:t>
      </w:r>
    </w:p>
    <w:p>
      <w:r>
        <w:t>2. Open the sunhaven_care_iam directory. Run start_windows.bat on Windows, or run python3 run.py on macOS or Linux. On Windows, python run.py or py run.py is an alternative.</w:t>
      </w:r>
    </w:p>
    <w:p>
      <w:r>
        <w:t>3. Leave the terminal open and visit http://127.0.0.1:8000. A running terminal is the web server; closing it stops the application.</w:t>
      </w:r>
    </w:p>
    <w:p>
      <w:r>
        <w:t>4. Select an appropriate fictional identity. Ivy Chen is an IAMOperator; Daniel Lee is a Manager; Omar Rahman is an Auditor; Sarah Khan is a Nurse; Mia Patel is a CareWorker.</w:t>
      </w:r>
    </w:p>
    <w:p>
      <w:r>
        <w:t>5. Use Sign out when finished. The application normally allows one session per worker: a new sign-in invalidates that worker’s previous local session.</w:t>
      </w:r>
    </w:p>
    <w:p>
      <w:pPr>
        <w:pStyle w:val="Heading2"/>
      </w:pPr>
      <w:r>
        <w:t>The demonstration dataset</w:t>
      </w:r>
    </w:p>
    <w:p>
      <w:r>
        <w:t>The package contains 42 fictional workers, 30 fictional residents and 35 initial workforce notes. Agency deadlines and review dates intentionally produce compliance findings. Ali Noor is an expired agency worker and cannot sign in. Grace Wilson is a blocked leaver. DEMO_FIXTURE audit entries are examples, not proof that the illustrated actions actually ran.</w:t>
      </w:r>
    </w:p>
    <w:p>
      <w:pPr>
        <w:pStyle w:val="Heading2"/>
      </w:pPr>
      <w:r>
        <w:t>Alternative server and container</w:t>
      </w:r>
    </w:p>
    <w:p>
      <w:r>
        <w:t>For Waitress, install requirements-deploy.txt with python -m pip install -r requirements-deploy.txt, then run python serve.py. Docker users can run docker compose up --build -d. The local Compose profile binds to 127.0.0.1:8000 and stores the database in a persistent demo-data volume.</w:t>
      </w:r>
    </w:p>
    <w:p>
      <w:pPr>
        <w:pStyle w:val="Heading2"/>
      </w:pPr>
      <w:r>
        <w:t>Reset and upgrade</w:t>
      </w:r>
    </w:p>
    <w:p>
      <w:r>
        <w:t>Startup creates missing tables without deleting existing records. Back up before upgrades. Stop the app before intentionally resetting the demo, then run python reset_demo.py --confirm-reset. Reset destroys local demonstration changes and is blocked outside local development mode. Version 3 approvals require new snapshots; old approved requests cannot be executed and must be resubmitted.</w:t>
      </w:r>
    </w:p>
    <w:p>
      <w:r>
        <w:br w:type="page"/>
      </w:r>
    </w:p>
    <w:p>
      <w:pPr>
        <w:pStyle w:val="Heading1"/>
      </w:pPr>
      <w:r>
        <w:t>2 Permissions and navigation</w:t>
      </w:r>
    </w:p>
    <w:p>
      <w:r>
        <w:t>The interface adapts to the signed-in role, but the server also checks permissions on direct URL requests. A hidden menu is not the security control. Governance roles currently have organisation-wide visibility; manager access is not limited to a single facility.</w:t>
      </w:r>
    </w:p>
    <w:tbl>
      <w:tblPr>
        <w:tblW w:type="auto" w:w="0"/>
        <w:tblLayout w:type="fixed"/>
        <w:tblLook w:firstColumn="1" w:firstRow="1" w:lastColumn="0" w:lastRow="0" w:noHBand="0" w:noVBand="1" w:val="04A0"/>
      </w:tblPr>
      <w:tblGrid>
        <w:gridCol w:w="3456"/>
        <w:gridCol w:w="1584"/>
        <w:gridCol w:w="1440"/>
        <w:gridCol w:w="1440"/>
        <w:gridCol w:w="1872"/>
      </w:tblGrid>
      <w:tr>
        <w:trPr>
          <w:tblHeader/>
        </w:trPr>
        <w:tc>
          <w:tcPr>
            <w:tcW w:type="dxa" w:w="1987"/>
            <w:shd w:fill="24435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color w:val="FFFFFF"/>
                <w:sz w:val="18"/>
              </w:rPr>
              <w:t>Feature</w:t>
            </w:r>
          </w:p>
        </w:tc>
        <w:tc>
          <w:tcPr>
            <w:tcW w:type="dxa" w:w="1987"/>
            <w:shd w:fill="24435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color w:val="FFFFFF"/>
                <w:sz w:val="18"/>
              </w:rPr>
              <w:t>Worker roles</w:t>
            </w:r>
          </w:p>
        </w:tc>
        <w:tc>
          <w:tcPr>
            <w:tcW w:type="dxa" w:w="1987"/>
            <w:shd w:fill="24435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color w:val="FFFFFF"/>
                <w:sz w:val="18"/>
              </w:rPr>
              <w:t>Manager</w:t>
            </w:r>
          </w:p>
        </w:tc>
        <w:tc>
          <w:tcPr>
            <w:tcW w:type="dxa" w:w="1987"/>
            <w:shd w:fill="24435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color w:val="FFFFFF"/>
                <w:sz w:val="18"/>
              </w:rPr>
              <w:t>Auditor</w:t>
            </w:r>
          </w:p>
        </w:tc>
        <w:tc>
          <w:tcPr>
            <w:tcW w:type="dxa" w:w="1987"/>
            <w:shd w:fill="24435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color w:val="FFFFFF"/>
                <w:sz w:val="18"/>
              </w:rPr>
              <w:t>IAM operator</w:t>
            </w:r>
          </w:p>
        </w:tc>
      </w:tr>
      <w:tr>
        <w:tc>
          <w:tcPr>
            <w:tcW w:type="dxa" w:w="3456"/>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Own access requests</w:t>
            </w:r>
          </w:p>
        </w:tc>
        <w:tc>
          <w:tcPr>
            <w:tcW w:type="dxa" w:w="1584"/>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Yes</w:t>
            </w:r>
          </w:p>
        </w:tc>
        <w:tc>
          <w:tcPr>
            <w:tcW w:type="dxa" w:w="1440"/>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Yes</w:t>
            </w:r>
          </w:p>
        </w:tc>
        <w:tc>
          <w:tcPr>
            <w:tcW w:type="dxa" w:w="1440"/>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Yes</w:t>
            </w:r>
          </w:p>
        </w:tc>
        <w:tc>
          <w:tcPr>
            <w:tcW w:type="dxa" w:w="1872"/>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Yes</w:t>
            </w:r>
          </w:p>
        </w:tc>
      </w:tr>
      <w:tr>
        <w:tc>
          <w:tcPr>
            <w:tcW w:type="dxa" w:w="34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Directory and audit</w:t>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No</w:t>
            </w:r>
          </w:p>
        </w:tc>
        <w:tc>
          <w:tcPr>
            <w:tcW w:type="dxa" w:w="144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Yes</w:t>
            </w:r>
          </w:p>
        </w:tc>
        <w:tc>
          <w:tcPr>
            <w:tcW w:type="dxa" w:w="144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Yes</w:t>
            </w:r>
          </w:p>
        </w:tc>
        <w:tc>
          <w:tcPr>
            <w:tcW w:type="dxa" w:w="187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Yes</w:t>
            </w:r>
          </w:p>
        </w:tc>
      </w:tr>
      <w:tr>
        <w:tc>
          <w:tcPr>
            <w:tcW w:type="dxa" w:w="3456"/>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Read workforce notes</w:t>
            </w:r>
          </w:p>
        </w:tc>
        <w:tc>
          <w:tcPr>
            <w:tcW w:type="dxa" w:w="1584"/>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No</w:t>
            </w:r>
          </w:p>
        </w:tc>
        <w:tc>
          <w:tcPr>
            <w:tcW w:type="dxa" w:w="1440"/>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Yes</w:t>
            </w:r>
          </w:p>
        </w:tc>
        <w:tc>
          <w:tcPr>
            <w:tcW w:type="dxa" w:w="1440"/>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Yes</w:t>
            </w:r>
          </w:p>
        </w:tc>
        <w:tc>
          <w:tcPr>
            <w:tcW w:type="dxa" w:w="1872"/>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Yes</w:t>
            </w:r>
          </w:p>
        </w:tc>
      </w:tr>
      <w:tr>
        <w:tc>
          <w:tcPr>
            <w:tcW w:type="dxa" w:w="34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Write workforce notes</w:t>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No</w:t>
            </w:r>
          </w:p>
        </w:tc>
        <w:tc>
          <w:tcPr>
            <w:tcW w:type="dxa" w:w="144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Yes</w:t>
            </w:r>
          </w:p>
        </w:tc>
        <w:tc>
          <w:tcPr>
            <w:tcW w:type="dxa" w:w="144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No</w:t>
            </w:r>
          </w:p>
        </w:tc>
        <w:tc>
          <w:tcPr>
            <w:tcW w:type="dxa" w:w="187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Yes</w:t>
            </w:r>
          </w:p>
        </w:tc>
      </w:tr>
      <w:tr>
        <w:tc>
          <w:tcPr>
            <w:tcW w:type="dxa" w:w="3456"/>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Review access</w:t>
            </w:r>
          </w:p>
        </w:tc>
        <w:tc>
          <w:tcPr>
            <w:tcW w:type="dxa" w:w="1584"/>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No</w:t>
            </w:r>
          </w:p>
        </w:tc>
        <w:tc>
          <w:tcPr>
            <w:tcW w:type="dxa" w:w="1440"/>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Yes</w:t>
            </w:r>
          </w:p>
        </w:tc>
        <w:tc>
          <w:tcPr>
            <w:tcW w:type="dxa" w:w="1440"/>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Yes</w:t>
            </w:r>
          </w:p>
        </w:tc>
        <w:tc>
          <w:tcPr>
            <w:tcW w:type="dxa" w:w="1872"/>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Yes</w:t>
            </w:r>
          </w:p>
        </w:tc>
      </w:tr>
      <w:tr>
        <w:tc>
          <w:tcPr>
            <w:tcW w:type="dxa" w:w="34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Decide other requests</w:t>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No</w:t>
            </w:r>
          </w:p>
        </w:tc>
        <w:tc>
          <w:tcPr>
            <w:tcW w:type="dxa" w:w="144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Yes *</w:t>
            </w:r>
          </w:p>
        </w:tc>
        <w:tc>
          <w:tcPr>
            <w:tcW w:type="dxa" w:w="144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No</w:t>
            </w:r>
          </w:p>
        </w:tc>
        <w:tc>
          <w:tcPr>
            <w:tcW w:type="dxa" w:w="187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Yes</w:t>
            </w:r>
          </w:p>
        </w:tc>
      </w:tr>
      <w:tr>
        <w:tc>
          <w:tcPr>
            <w:tcW w:type="dxa" w:w="3456"/>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Execute approved Mover</w:t>
            </w:r>
          </w:p>
        </w:tc>
        <w:tc>
          <w:tcPr>
            <w:tcW w:type="dxa" w:w="1584"/>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No</w:t>
            </w:r>
          </w:p>
        </w:tc>
        <w:tc>
          <w:tcPr>
            <w:tcW w:type="dxa" w:w="1440"/>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No</w:t>
            </w:r>
          </w:p>
        </w:tc>
        <w:tc>
          <w:tcPr>
            <w:tcW w:type="dxa" w:w="1440"/>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No</w:t>
            </w:r>
          </w:p>
        </w:tc>
        <w:tc>
          <w:tcPr>
            <w:tcW w:type="dxa" w:w="1872"/>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Yes</w:t>
            </w:r>
          </w:p>
        </w:tc>
      </w:tr>
      <w:tr>
        <w:tc>
          <w:tcPr>
            <w:tcW w:type="dxa" w:w="34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Joiner and Leaver</w:t>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No</w:t>
            </w:r>
          </w:p>
        </w:tc>
        <w:tc>
          <w:tcPr>
            <w:tcW w:type="dxa" w:w="144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No</w:t>
            </w:r>
          </w:p>
        </w:tc>
        <w:tc>
          <w:tcPr>
            <w:tcW w:type="dxa" w:w="144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No</w:t>
            </w:r>
          </w:p>
        </w:tc>
        <w:tc>
          <w:tcPr>
            <w:tcW w:type="dxa" w:w="187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Yes</w:t>
            </w:r>
          </w:p>
        </w:tc>
      </w:tr>
      <w:tr>
        <w:tc>
          <w:tcPr>
            <w:tcW w:type="dxa" w:w="3456"/>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Assignments and revoke sessions</w:t>
            </w:r>
          </w:p>
        </w:tc>
        <w:tc>
          <w:tcPr>
            <w:tcW w:type="dxa" w:w="1584"/>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No</w:t>
            </w:r>
          </w:p>
        </w:tc>
        <w:tc>
          <w:tcPr>
            <w:tcW w:type="dxa" w:w="1440"/>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No</w:t>
            </w:r>
          </w:p>
        </w:tc>
        <w:tc>
          <w:tcPr>
            <w:tcW w:type="dxa" w:w="1440"/>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No</w:t>
            </w:r>
          </w:p>
        </w:tc>
        <w:tc>
          <w:tcPr>
            <w:tcW w:type="dxa" w:w="1872"/>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Yes</w:t>
            </w:r>
          </w:p>
        </w:tc>
      </w:tr>
      <w:tr>
        <w:tc>
          <w:tcPr>
            <w:tcW w:type="dxa" w:w="34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Tasks and review closure</w:t>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No</w:t>
            </w:r>
          </w:p>
        </w:tc>
        <w:tc>
          <w:tcPr>
            <w:tcW w:type="dxa" w:w="144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Yes</w:t>
            </w:r>
          </w:p>
        </w:tc>
        <w:tc>
          <w:tcPr>
            <w:tcW w:type="dxa" w:w="144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No</w:t>
            </w:r>
          </w:p>
        </w:tc>
        <w:tc>
          <w:tcPr>
            <w:tcW w:type="dxa" w:w="187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Yes</w:t>
            </w:r>
          </w:p>
        </w:tc>
      </w:tr>
      <w:tr>
        <w:tc>
          <w:tcPr>
            <w:tcW w:type="dxa" w:w="3456"/>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CSV evidence exports</w:t>
            </w:r>
          </w:p>
        </w:tc>
        <w:tc>
          <w:tcPr>
            <w:tcW w:type="dxa" w:w="1584"/>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No</w:t>
            </w:r>
          </w:p>
        </w:tc>
        <w:tc>
          <w:tcPr>
            <w:tcW w:type="dxa" w:w="1440"/>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Yes</w:t>
            </w:r>
          </w:p>
        </w:tc>
        <w:tc>
          <w:tcPr>
            <w:tcW w:type="dxa" w:w="1440"/>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Yes</w:t>
            </w:r>
          </w:p>
        </w:tc>
        <w:tc>
          <w:tcPr>
            <w:tcW w:type="dxa" w:w="1872"/>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Yes</w:t>
            </w:r>
          </w:p>
        </w:tc>
      </w:tr>
    </w:tbl>
    <w:p/>
    <w:p>
      <w:r>
        <w:t>* A request for IAMOperator needs an IAMOperator approver. A requester cannot approve or execute their own request. Nurses, CareWorkers and AgencyWorkers are grouped as worker roles in this table; their resident visibility differs.</w:t>
      </w:r>
    </w:p>
    <w:p>
      <w:pPr>
        <w:pStyle w:val="Heading2"/>
      </w:pPr>
      <w:r>
        <w:t>How to use the screens</w:t>
      </w:r>
    </w:p>
    <w:p>
      <w:r>
        <w:t>Dashboard summarises current workforce state, findings, agency deadlines and pending work. Employees supports search, facility/status filters and 12-row client-side pagination. Audit has search and pagination. Notes can be searched by visible content. Access requests shows a worker’s own requests, or the latest 100 requests for governance roles. Security operations groups administration forms in expandable panels. Help &amp; guide provides short explanations inside the application.</w:t>
      </w:r>
    </w:p>
    <w:p>
      <w:r>
        <w:t>The mobile navigation button opens the sidebar. Escape closes it. Keyboard focus styling and a Skip to content link support navigation without a mouse. Browser and mobile acceptance testing is still required before hosting.</w:t>
      </w:r>
    </w:p>
    <w:p>
      <w:r>
        <w:br w:type="page"/>
      </w:r>
    </w:p>
    <w:p>
      <w:pPr>
        <w:pStyle w:val="Heading1"/>
      </w:pPr>
      <w:r>
        <w:t>3 Workers and lifecycle management</w:t>
      </w:r>
    </w:p>
    <w:p>
      <w:pPr>
        <w:pStyle w:val="Heading2"/>
      </w:pPr>
      <w:r>
        <w:t>Create a Joiner</w:t>
      </w:r>
    </w:p>
    <w:p>
      <w:r>
        <w:t>1. Sign in as an IAM operator and choose Employees, then New Joiner.</w:t>
      </w:r>
    </w:p>
    <w:p>
      <w:r>
        <w:t>2. Enter a unique employee ID of 2 to 32 letters, numbers, underscores or hyphens. Enter the full name and a valid unique email address. Select worker type, role, facility and start date.</w:t>
      </w:r>
    </w:p>
    <w:p>
      <w:r>
        <w:t>3. For Agency workers, supply a sponsor and a current or future end date. The end date must not precede the start date. Names and sponsor fields are limited to 100 characters.</w:t>
      </w:r>
    </w:p>
    <w:p>
      <w:r>
        <w:t>4. Choose Dry run only. Review the proposed local identity and access changes. Return to the form and create the Joiner when the information is correct.</w:t>
      </w:r>
    </w:p>
    <w:p>
      <w:r>
        <w:t>5. Open the worker profile and verify approved role, actual roles, cloud simulation state and the audit correlation. New workers do not automatically receive resident assignments.</w:t>
      </w:r>
    </w:p>
    <w:p>
      <w:pPr>
        <w:pStyle w:val="Heading2"/>
      </w:pPr>
      <w:r>
        <w:t>Preview a Mover</w:t>
      </w:r>
    </w:p>
    <w:p>
      <w:r>
        <w:t>Open the worker profile, choose Mover, select the proposed role and facility, then run the dry run. Version 3 removes the direct Apply Mover button. A crafted POST to the old apply route also receives an approval-required response. Use Access requests to approve and execute the actual change as described in section 4.</w:t>
      </w:r>
    </w:p>
    <w:p>
      <w:pPr>
        <w:pStyle w:val="Heading2"/>
      </w:pPr>
      <w:r>
        <w:t>Process a Leaver</w:t>
      </w:r>
    </w:p>
    <w:p>
      <w:r>
        <w:t>1. As an IAM operator, open the correct active worker profile and verify the stable employee ID.</w:t>
      </w:r>
    </w:p>
    <w:p>
      <w:r>
        <w:t>2. Select Process Leaver and confirm. The local identity becomes a Leaver, cloud_enabled is cleared, roles are removed, assignments are deactivated, sessions are deleted and a blocked-user record is written.</w:t>
      </w:r>
    </w:p>
    <w:p>
      <w:r>
        <w:t>3. Verify the worker’s profile and audit event. A Mover cannot reactivate a leaver. Do not delete historical identities merely to remove access.</w:t>
      </w:r>
    </w:p>
    <w:p>
      <w:pPr>
        <w:pStyle w:val="Heading2"/>
      </w:pPr>
      <w:r>
        <w:t>Important scope</w:t>
      </w:r>
    </w:p>
    <w:p>
      <w:r>
        <w:t>Joiner and Leaver actions remain direct IAM operator actions; the two-person approval workflow applies to Mover execution. Directory actions are simulated. A mock object ID cannot be used to authenticate a real Entra worker. Offline database access is an administrator capability and must be protected separately.</w:t>
      </w:r>
    </w:p>
    <w:p>
      <w:r>
        <w:br w:type="page"/>
      </w:r>
    </w:p>
    <w:p>
      <w:pPr>
        <w:pStyle w:val="Heading1"/>
      </w:pPr>
      <w:r>
        <w:t>4 Access requests and controlled execution</w:t>
      </w:r>
    </w:p>
    <w:p>
      <w:r>
        <w:t>1. The worker signs in and opens Access requests. Expand Request a change to my access, choose the target role and facility, and enter a business reason of 10 to 2,000 characters. Submit the request.</w:t>
      </w:r>
    </w:p>
    <w:p>
      <w:r>
        <w:t>2. A Manager or IAM operator opens the request and enters a decision reason of 5 to 1,000 characters. Approve or reject it. The requester cannot decide their own request. Privileged IAMOperator requests need an IAMOperator decision.</w:t>
      </w:r>
    </w:p>
    <w:p>
      <w:r>
        <w:t>3. Approval stores a snapshot of the current role and facility. Approval alone does not grant access. A decided request cannot be decided again. A duplicate pending request for the same role and facility is rejected.</w:t>
      </w:r>
    </w:p>
    <w:p>
      <w:r>
        <w:t>4. An IAM operator other than the requester chooses Execute approved change. Execution must happen within seven days of approval. The target must still be active, enabled and unblocked, with a valid agency contract when applicable.</w:t>
      </w:r>
    </w:p>
    <w:p>
      <w:r>
        <w:t>5. The service confirms that the approver still has the required active role. It compares the target’s current role and facility with the approved snapshot. If they changed, execution stops and a new approval is required.</w:t>
      </w:r>
    </w:p>
    <w:p>
      <w:r>
        <w:t>6. Execution removes old roles, deactivates assignments, deletes sessions, assigns the approved role/facility, updates the simulated directory state and marks the request Implemented. The worker signs in again and receives new resident assignments separately.</w:t>
      </w:r>
    </w:p>
    <w:p>
      <w:pPr>
        <w:pStyle w:val="Heading2"/>
      </w:pPr>
      <w:r>
        <w:t>Atomic execution</w:t>
      </w:r>
    </w:p>
    <w:p>
      <w:r>
        <w:t>The governance service uses BEGIN IMMEDIATE so SQLite serialises conflicting writers. The access changes, request completion and audit event commit together. An audit-write error rolls back the access change. A second execution of the same request is rejected. This is a local transactional guarantee; it is not a distributed Microsoft Graph transaction.</w:t>
      </w:r>
    </w:p>
    <w:p>
      <w:pPr>
        <w:pStyle w:val="Heading2"/>
      </w:pPr>
      <w:r>
        <w:t>Separation of duties</w:t>
      </w:r>
    </w:p>
    <w:p>
      <w:r>
        <w:t>There must be an approver other than the requester and an executor other than the requester. An IAM operator who approved someone else’s request may also execute it. This is not a three-person approval requirement. Version 3 cannot execute version 2 approvals that lack a snapshot. Rejected, stale and expired requests remain visible; submit a new request rather than editing the original decision.</w:t>
      </w:r>
    </w:p>
    <w:p>
      <w:r>
        <w:br w:type="page"/>
      </w:r>
    </w:p>
    <w:p>
      <w:pPr>
        <w:pStyle w:val="Heading1"/>
      </w:pPr>
      <w:r>
        <w:t>5 Residents and operational notes</w:t>
      </w:r>
    </w:p>
    <w:p>
      <w:pPr>
        <w:pStyle w:val="Heading2"/>
      </w:pPr>
      <w:r>
        <w:t>Resident access</w:t>
      </w:r>
    </w:p>
    <w:p>
      <w:r>
        <w:t>Nurses and Managers see residents in their own facility. CareWorkers and AgencyWorkers see residents with active assignments to their employee ID. IAM operators and Auditors do not receive resident care access through those roles. The data is fictional and contains no real clinical records.</w:t>
      </w:r>
    </w:p>
    <w:p>
      <w:pPr>
        <w:pStyle w:val="Heading2"/>
      </w:pPr>
      <w:r>
        <w:t>Manage assignments</w:t>
      </w:r>
    </w:p>
    <w:p>
      <w:r>
        <w:t>1. As an IAM operator, open Security operations and expand Assign a resident.</w:t>
      </w:r>
    </w:p>
    <w:p>
      <w:r>
        <w:t>2. Choose the worker and resident. Enter a reason of 10 to 2,000 characters. Save operation.</w:t>
      </w:r>
    </w:p>
    <w:p>
      <w:r>
        <w:t>3. The worker must have an active enabled care role, belong to the same facility as the resident and not be blocked or expired. Invalid combinations are rejected by the server.</w:t>
      </w:r>
    </w:p>
    <w:p>
      <w:r>
        <w:t>4. Confirm the Active resident assignments table. To remove an assignment, use Remove a resident assignment, select the same pair and record the reason.</w:t>
      </w:r>
    </w:p>
    <w:p>
      <w:r>
        <w:t>5. After a Mover, assign residents again because execution deactivates all previous assignments. A Leaver also loses every active assignment.</w:t>
      </w:r>
    </w:p>
    <w:p>
      <w:pPr>
        <w:pStyle w:val="Heading2"/>
      </w:pPr>
      <w:r>
        <w:t>Notes and handovers</w:t>
      </w:r>
    </w:p>
    <w:p>
      <w:r>
        <w:t>1. Managers and IAM operators open Notes &amp; handovers. Select a worker and choose Onboarding, Access review, Handover, Offboarding or General.</w:t>
      </w:r>
    </w:p>
    <w:p>
      <w:r>
        <w:t>2. Enter 5 to 2,000 characters and save. Describe the decision, handover or next action without passwords, authentication codes or clinical information.</w:t>
      </w:r>
    </w:p>
    <w:p>
      <w:r>
        <w:t>3. Search by worker, category or note content. The page displays the latest 100 notes. The employee profile displays its latest five notes.</w:t>
      </w:r>
    </w:p>
    <w:p>
      <w:r>
        <w:t>Notes preserve their author and creation timestamp and are append-only through the interface. Correct a mistake by adding a new note that explains the correction. Auditors may read notes but cannot add them. HTML is escaped before display. The audit event records note metadata rather than copying the note body.</w:t>
      </w:r>
    </w:p>
    <w:p>
      <w:pPr>
        <w:pStyle w:val="Heading2"/>
      </w:pPr>
      <w:r>
        <w:t>Protected demonstration pages</w:t>
      </w:r>
    </w:p>
    <w:p>
      <w:r>
        <w:t>Care Notes is available to care roles and Managers; Clinical to Nurses and Managers; Review to Managers and Auditors; IAM administration to IAM operators. These routes demonstrate authorisation and do not constitute a complete electronic health record system.</w:t>
      </w:r>
    </w:p>
    <w:p>
      <w:r>
        <w:br w:type="page"/>
      </w:r>
    </w:p>
    <w:p>
      <w:pPr>
        <w:pStyle w:val="Heading1"/>
      </w:pPr>
      <w:r>
        <w:t>6 Reviews and remediation</w:t>
      </w:r>
    </w:p>
    <w:p>
      <w:pPr>
        <w:pStyle w:val="Heading2"/>
      </w:pPr>
      <w:r>
        <w:t>Record an access review</w:t>
      </w:r>
    </w:p>
    <w:p>
      <w:r>
        <w:t>1. Open Access Reviews as Manager, Auditor or IAM operator. Choose the worker and select Retain, Change, Remove or Temporary Exception.</w:t>
      </w:r>
    </w:p>
    <w:p>
      <w:r>
        <w:t>2. Enter a reason of 5 to 2,000 characters. Temporary Exception requires a future expiry date.</w:t>
      </w:r>
    </w:p>
    <w:p>
      <w:r>
        <w:t>3. Save the review. Change and Remove are forced to Pending even if Closed was selected. Recording a decision does not immediately change the worker’s access.</w:t>
      </w:r>
    </w:p>
    <w:p>
      <w:r>
        <w:t>4. For Change, obtain and execute a suitable access request. For Remove, process the appropriate offboarding action. Retain and exceptions are recorded decisions; exceptions do not suppress compliance checks or automatically expire access.</w:t>
      </w:r>
    </w:p>
    <w:p>
      <w:pPr>
        <w:pStyle w:val="Heading2"/>
      </w:pPr>
      <w:r>
        <w:t>Close a pending review</w:t>
      </w:r>
    </w:p>
    <w:p>
      <w:r>
        <w:t>1. As Manager or IAM operator, open Security operations and expand Close a pending access review.</w:t>
      </w:r>
    </w:p>
    <w:p>
      <w:r>
        <w:t>2. Select the review and enter evidence of 10 to 2,000 characters. Reference what was verified and any relevant correlation ID.</w:t>
      </w:r>
    </w:p>
    <w:p>
      <w:r>
        <w:t>3. A Remove review cannot close while the worker is cloud-enabled, still has a role or has an active resident assignment. Remove access first.</w:t>
      </w:r>
    </w:p>
    <w:p>
      <w:r>
        <w:t>4. Save and confirm the review is Closed in Access Reviews. The review_closures table preserves the closing actor, evidence and timestamp. Change and other closure evidence is operator-attested; only Remove has automated access-state prerequisites.</w:t>
      </w:r>
    </w:p>
    <w:p>
      <w:pPr>
        <w:pStyle w:val="Heading2"/>
      </w:pPr>
      <w:r>
        <w:t>Track remediation tasks</w:t>
      </w:r>
    </w:p>
    <w:p>
      <w:r>
        <w:t>Create a remediation task in Security operations. Select the affected worker, an active Manager/IAM operator owner, a 5 to 120 character title and Low, Medium, High or Critical priority. Enter the reason or evidence. This creates an Open task; it does not alter identity access.</w:t>
      </w:r>
    </w:p>
    <w:p>
      <w:r>
        <w:t>Use Update a remediation task to set Open, In progress or Resolved and record new evidence. The register shows the latest 100 tasks. Updates replace the task’s current evidence, while the corresponding audit event preserves each submitted explanation. Managers and IAM operators can update any task; ownership is accountability metadata rather than an access restriction. No email, SLA scheduler or automatic finding-to-task synchronisation is implemented.</w:t>
      </w:r>
    </w:p>
    <w:p>
      <w:r>
        <w:br w:type="page"/>
      </w:r>
    </w:p>
    <w:p>
      <w:pPr>
        <w:pStyle w:val="Heading1"/>
      </w:pPr>
      <w:r>
        <w:t>7 Security operations and evidence</w:t>
      </w:r>
    </w:p>
    <w:p>
      <w:pPr>
        <w:pStyle w:val="Heading2"/>
      </w:pPr>
      <w:r>
        <w:t>Session administration</w:t>
      </w:r>
    </w:p>
    <w:p>
      <w:r>
        <w:t>Security operations lists worker name, employee ID, creation time and expiry for unexpired local sessions. Session tokens are never displayed. An IAM operator can revoke all local sessions for a selected worker by providing a reason. The next protected request requires sign-in again. This does not revoke Entra tokens, other applications or sessions in a live Microsoft tenant.</w:t>
      </w:r>
    </w:p>
    <w:p>
      <w:pPr>
        <w:pStyle w:val="Heading2"/>
      </w:pPr>
      <w:r>
        <w:t>Read compliance results</w:t>
      </w:r>
    </w:p>
    <w:tbl>
      <w:tblPr>
        <w:tblW w:type="auto" w:w="0"/>
        <w:tblLayout w:type="fixed"/>
        <w:tblLook w:firstColumn="1" w:firstRow="1" w:lastColumn="0" w:lastRow="0" w:noHBand="0" w:noVBand="1" w:val="04A0"/>
      </w:tblPr>
      <w:tblGrid>
        <w:gridCol w:w="1008"/>
        <w:gridCol w:w="8784"/>
      </w:tblGrid>
      <w:tr>
        <w:trPr>
          <w:tblHeader/>
        </w:trPr>
        <w:tc>
          <w:tcPr>
            <w:tcW w:type="dxa" w:w="4968"/>
            <w:shd w:fill="24435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color w:val="FFFFFF"/>
                <w:sz w:val="18"/>
              </w:rPr>
              <w:t>Rule</w:t>
            </w:r>
          </w:p>
        </w:tc>
        <w:tc>
          <w:tcPr>
            <w:tcW w:type="dxa" w:w="4968"/>
            <w:shd w:fill="24435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color w:val="FFFFFF"/>
                <w:sz w:val="18"/>
              </w:rPr>
              <w:t>Condition</w:t>
            </w:r>
          </w:p>
        </w:tc>
      </w:tr>
      <w:tr>
        <w:tc>
          <w:tcPr>
            <w:tcW w:type="dxa" w:w="1008"/>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C01</w:t>
            </w:r>
          </w:p>
        </w:tc>
        <w:tc>
          <w:tcPr>
            <w:tcW w:type="dxa" w:w="8784"/>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Enabled leaver or inactive identity</w:t>
            </w:r>
          </w:p>
        </w:tc>
      </w:tr>
      <w:tr>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C02</w:t>
            </w:r>
          </w:p>
        </w:tc>
        <w:tc>
          <w:tcPr>
            <w:tcW w:type="dxa" w:w="87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Expired agency identity still enabled</w:t>
            </w:r>
          </w:p>
        </w:tc>
      </w:tr>
      <w:tr>
        <w:tc>
          <w:tcPr>
            <w:tcW w:type="dxa" w:w="1008"/>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C03</w:t>
            </w:r>
          </w:p>
        </w:tc>
        <w:tc>
          <w:tcPr>
            <w:tcW w:type="dxa" w:w="8784"/>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Agency sponsor or end date missing</w:t>
            </w:r>
          </w:p>
        </w:tc>
      </w:tr>
      <w:tr>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C04</w:t>
            </w:r>
          </w:p>
        </w:tc>
        <w:tc>
          <w:tcPr>
            <w:tcW w:type="dxa" w:w="87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Approved and simulated cloud roles differ</w:t>
            </w:r>
          </w:p>
        </w:tc>
      </w:tr>
      <w:tr>
        <w:tc>
          <w:tcPr>
            <w:tcW w:type="dxa" w:w="1008"/>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C05</w:t>
            </w:r>
          </w:p>
        </w:tc>
        <w:tc>
          <w:tcPr>
            <w:tcW w:type="dxa" w:w="8784"/>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Multiple normal care roles</w:t>
            </w:r>
          </w:p>
        </w:tc>
      </w:tr>
      <w:tr>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C06</w:t>
            </w:r>
          </w:p>
        </w:tc>
        <w:tc>
          <w:tcPr>
            <w:tcW w:type="dxa" w:w="87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Disabled worker retains roles or assignments</w:t>
            </w:r>
          </w:p>
        </w:tc>
      </w:tr>
      <w:tr>
        <w:tc>
          <w:tcPr>
            <w:tcW w:type="dxa" w:w="1008"/>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C07</w:t>
            </w:r>
          </w:p>
        </w:tc>
        <w:tc>
          <w:tcPr>
            <w:tcW w:type="dxa" w:w="8784"/>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Unexpected administrative privilege</w:t>
            </w:r>
          </w:p>
        </w:tc>
      </w:tr>
      <w:tr>
        <w:tc>
          <w:tcPr>
            <w:tcW w:type="dxa" w:w="100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C08</w:t>
            </w:r>
          </w:p>
        </w:tc>
        <w:tc>
          <w:tcPr>
            <w:tcW w:type="dxa" w:w="87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Access review older than the 90-day lab interval</w:t>
            </w:r>
          </w:p>
        </w:tc>
      </w:tr>
    </w:tbl>
    <w:p/>
    <w:p>
      <w:r>
        <w:t>The checker is read-only with respect to access. Run &amp; store scan records the current finding set and a scan audit event. Existing stored open findings are marked resolved and a new snapshot is inserted; these are scan snapshots rather than stable incident identities. The operations dashboard counts current High/Critical findings and shows pending reviews, unexpired sessions and open tasks from the latest 100.</w:t>
      </w:r>
    </w:p>
    <w:p>
      <w:pPr>
        <w:pStyle w:val="Heading2"/>
      </w:pPr>
      <w:r>
        <w:t>Audit and exports</w:t>
      </w:r>
    </w:p>
    <w:p>
      <w:r>
        <w:t>Audit Log displays the latest 200 events with actor, target, action, result, UTC time and correlation ID. Employees, Audit and Access Reviews have Export CSV links. Exports contain all records in the corresponding selected query, not just the visible page. Governance roles can export; worker roles cannot. Formula-like text is prefixed to reduce spreadsheet formula execution, and an export audit event records dataset and row count.</w:t>
      </w:r>
    </w:p>
    <w:p>
      <w:r>
        <w:t>Audit sanitisation redacts known secret field names, but it is not a general secret-detection service. Never type secrets into free-text reasons. The SQLite audit log is not cryptographically tamper-evident. Restrict disk access and export evidence to independently protected storage for stronger assurance.</w:t>
      </w:r>
    </w:p>
    <w:p>
      <w:r>
        <w:br w:type="page"/>
      </w:r>
    </w:p>
    <w:p>
      <w:pPr>
        <w:pStyle w:val="Heading1"/>
      </w:pPr>
      <w:r>
        <w:t>8 Application architecture and security</w:t>
      </w:r>
    </w:p>
    <w:p>
      <w:r>
        <w:t>The browser sends forms and page requests to a Python handler. run.py uses the standard-library HTTP server for a local demonstration. serve.py validates configuration, initialises the database and serves the same handlers through a WSGI adapter and Waitress. Static CSS and JavaScript require no external content delivery network.</w:t>
      </w:r>
    </w:p>
    <w:tbl>
      <w:tblPr>
        <w:tblW w:type="auto" w:w="0"/>
        <w:tblLayout w:type="fixed"/>
        <w:tblLook w:firstColumn="1" w:firstRow="1" w:lastColumn="0" w:lastRow="0" w:noHBand="0" w:noVBand="1" w:val="04A0"/>
      </w:tblPr>
      <w:tblGrid>
        <w:gridCol w:w="3024"/>
        <w:gridCol w:w="6768"/>
      </w:tblGrid>
      <w:tr>
        <w:trPr>
          <w:tblHeader/>
        </w:trPr>
        <w:tc>
          <w:tcPr>
            <w:tcW w:type="dxa" w:w="4968"/>
            <w:shd w:fill="24435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color w:val="FFFFFF"/>
                <w:sz w:val="18"/>
              </w:rPr>
              <w:t>Module</w:t>
            </w:r>
          </w:p>
        </w:tc>
        <w:tc>
          <w:tcPr>
            <w:tcW w:type="dxa" w:w="4968"/>
            <w:shd w:fill="24435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color w:val="FFFFFF"/>
                <w:sz w:val="18"/>
              </w:rPr>
              <w:t>Responsibility</w:t>
            </w:r>
          </w:p>
        </w:tc>
      </w:tr>
      <w:tr>
        <w:tc>
          <w:tcPr>
            <w:tcW w:type="dxa" w:w="3024"/>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server.py and ui.py</w:t>
            </w:r>
          </w:p>
        </w:tc>
        <w:tc>
          <w:tcPr>
            <w:tcW w:type="dxa" w:w="6768"/>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Routing, authentication flow, core screens and layout</w:t>
            </w:r>
          </w:p>
        </w:tc>
      </w:tr>
      <w:tr>
        <w:tc>
          <w:tcPr>
            <w:tcW w:type="dxa" w:w="30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features.py</w:t>
            </w:r>
          </w:p>
        </w:tc>
        <w:tc>
          <w:tcPr>
            <w:tcW w:type="dxa" w:w="676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Notes, requests, review decisions and CSV exports</w:t>
            </w:r>
          </w:p>
        </w:tc>
      </w:tr>
      <w:tr>
        <w:tc>
          <w:tcPr>
            <w:tcW w:type="dxa" w:w="3024"/>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operations_ui.py</w:t>
            </w:r>
          </w:p>
        </w:tc>
        <w:tc>
          <w:tcPr>
            <w:tcW w:type="dxa" w:w="6768"/>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Operations page and action dispatch</w:t>
            </w:r>
          </w:p>
        </w:tc>
      </w:tr>
      <w:tr>
        <w:tc>
          <w:tcPr>
            <w:tcW w:type="dxa" w:w="30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governance.py</w:t>
            </w:r>
          </w:p>
        </w:tc>
        <w:tc>
          <w:tcPr>
            <w:tcW w:type="dxa" w:w="676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Transactional approved Mover, tasks, assignments, session revocation and closure</w:t>
            </w:r>
          </w:p>
        </w:tc>
      </w:tr>
      <w:tr>
        <w:tc>
          <w:tcPr>
            <w:tcW w:type="dxa" w:w="3024"/>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lifecycle.py</w:t>
            </w:r>
          </w:p>
        </w:tc>
        <w:tc>
          <w:tcPr>
            <w:tcW w:type="dxa" w:w="6768"/>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Joiner, dry-run, Mover reference service and Leaver</w:t>
            </w:r>
          </w:p>
        </w:tc>
      </w:tr>
      <w:tr>
        <w:tc>
          <w:tcPr>
            <w:tcW w:type="dxa" w:w="30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database.py</w:t>
            </w:r>
          </w:p>
        </w:tc>
        <w:tc>
          <w:tcPr>
            <w:tcW w:type="dxa" w:w="676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SQLite connections, base schema and additive governance tables</w:t>
            </w:r>
          </w:p>
        </w:tc>
      </w:tr>
      <w:tr>
        <w:tc>
          <w:tcPr>
            <w:tcW w:type="dxa" w:w="3024"/>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auth.py and security.py</w:t>
            </w:r>
          </w:p>
        </w:tc>
        <w:tc>
          <w:tcPr>
            <w:tcW w:type="dxa" w:w="6768"/>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Session lookup, roles, cookies and signed CSRF tokens</w:t>
            </w:r>
          </w:p>
        </w:tc>
      </w:tr>
      <w:tr>
        <w:tc>
          <w:tcPr>
            <w:tcW w:type="dxa" w:w="30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compliance.py and audit.py</w:t>
            </w:r>
          </w:p>
        </w:tc>
        <w:tc>
          <w:tcPr>
            <w:tcW w:type="dxa" w:w="676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Policy checks and sanitised evidence</w:t>
            </w:r>
          </w:p>
        </w:tc>
      </w:tr>
      <w:tr>
        <w:tc>
          <w:tcPr>
            <w:tcW w:type="dxa" w:w="3024"/>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wsgi.py and serve.py</w:t>
            </w:r>
          </w:p>
        </w:tc>
        <w:tc>
          <w:tcPr>
            <w:tcW w:type="dxa" w:w="6768"/>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Deployment transport and server entrypoint</w:t>
            </w:r>
          </w:p>
        </w:tc>
      </w:tr>
      <w:tr>
        <w:tc>
          <w:tcPr>
            <w:tcW w:type="dxa" w:w="30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manage.py</w:t>
            </w:r>
          </w:p>
        </w:tc>
        <w:tc>
          <w:tcPr>
            <w:tcW w:type="dxa" w:w="676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Offline initialisation, bootstrap and backup</w:t>
            </w:r>
          </w:p>
        </w:tc>
      </w:tr>
    </w:tbl>
    <w:p/>
    <w:p>
      <w:pPr>
        <w:pStyle w:val="Heading2"/>
      </w:pPr>
      <w:r>
        <w:t>Request security</w:t>
      </w:r>
    </w:p>
    <w:p>
      <w:r>
        <w:t>Every state-changing web form uses POST with a signed double-submit CSRF token. The server rejects missing or forged tokens. Form input is limited to 64 KB. Role checks and parameterised SQL execute on the server. Dynamic text is HTML-escaped. Responses include security headers and private pages use no-store caching. Production cookies are Secure and HttpOnly; session cookies use SameSite=Lax and CSRF cookies use SameSite=Strict.</w:t>
      </w:r>
    </w:p>
    <w:p>
      <w:r>
        <w:t>Entra login uses MSAL, server-side single-use OAuth flow state and immutable tenant/user object IDs. MFA is a tenant policy, not a local OTP implementation. Demo login is disabled in Entra mode. Every session lookup checks the worker’s active/enabled state and agency expiry; blocked identities are denied. The content security policy still permits inline script/style for legacy UI behaviour and should be tightened before sensitive deployments.</w:t>
      </w:r>
    </w:p>
    <w:p>
      <w:r>
        <w:br w:type="page"/>
      </w:r>
    </w:p>
    <w:p>
      <w:pPr>
        <w:pStyle w:val="Heading1"/>
      </w:pPr>
      <w:r>
        <w:t>9 Deployment and recovery</w:t>
      </w:r>
    </w:p>
    <w:p>
      <w:pPr>
        <w:pStyle w:val="Heading2"/>
      </w:pPr>
      <w:r>
        <w:t>Hosted configuration</w:t>
      </w:r>
    </w:p>
    <w:p>
      <w:r>
        <w:t>Use compose.production.yaml for a controlled hosted demonstration. It separates the app from a Caddy TLS proxy and stores data in production-data. The image runs as UID 10001, drops Linux capabilities and uses a read-only root filesystem with writable data and temporary mounts. No public deployment has been performed.</w:t>
      </w:r>
    </w:p>
    <w:p>
      <w:r>
        <w:t>1. Prepare a Docker host and DNS hostname. Permit ports 80 and 443, and do not publish the application’s internal port 8000.</w:t>
      </w:r>
    </w:p>
    <w:p>
      <w:r>
        <w:t>2. Create a single-tenant confidential Entra web app with https://YOUR-HOST/auth/callback as the redirect. Apply approved assignment and MFA policies.</w:t>
      </w:r>
    </w:p>
    <w:p>
      <w:r>
        <w:t>3. Copy .env.production.example to .env.production. Supply SUNHAVEN_TENANT_ID, SUNHAVEN_CLIENT_ID, SUNHAVEN_CLIENT_SECRET, SUNHAVEN_REDIRECT_URI and a random SUNHAVEN_SECRET_KEY of at least 32 characters. Store real values outside version control.</w:t>
      </w:r>
    </w:p>
    <w:p>
      <w:r>
        <w:t>4. Set SUNHAVEN_DOMAIN in the shell for Compose. Run docker compose -f compose.production.yaml up --build -d.</w:t>
      </w:r>
    </w:p>
    <w:p>
      <w:r>
        <w:t>5. Provision the first operator in the empty database using manage.py bootstrap with employee-id, name, email and the real user object-id. See docs/DEPLOYMENT.md for the exact command. Validate sign-in with approved and unapproved test identities.</w:t>
      </w:r>
    </w:p>
    <w:p>
      <w:pPr>
        <w:pStyle w:val="Heading2"/>
      </w:pPr>
      <w:r>
        <w:t>Runtime settings</w:t>
      </w:r>
    </w:p>
    <w:p>
      <w:r>
        <w:t>SUNHAVEN_ENV=production requires Entra mode, a nonempty tenant/client configuration, an HTTPS redirect, a sufficiently long secret and SUNHAVEN_SEED_DEMO=0. SUNHAVEN_GRAPH_MODE remains mock; real mode is blocked. SUNHAVEN_DB_PATH selects persistent storage. SUNHAVEN_HOST and SUNHAVEN_PORT set the listener. SUNHAVEN_SESSION_HOURS controls local expiry. Use one application instance per SQLite database.</w:t>
      </w:r>
    </w:p>
    <w:p>
      <w:pPr>
        <w:pStyle w:val="Heading2"/>
      </w:pPr>
      <w:r>
        <w:t>Backup and restore</w:t>
      </w:r>
    </w:p>
    <w:p>
      <w:r>
        <w:t>Run python manage.py backup backups/unique-name.db. The SQLite backup API includes committed WAL changes and refuses to overwrite an existing backup. Keep secured copies off-host. To restore, stop the app, preserve the current database, restore a verified backup, clear obsolete WAL/SHM sidecars while stopped, restore file permissions and restart. Verify health, sign-in and known record counts. Test restore before relying on it. Docker volume removal is destructive; do not use down -v during routine shutdown.</w:t>
      </w:r>
    </w:p>
    <w:p>
      <w:r>
        <w:br w:type="page"/>
      </w:r>
    </w:p>
    <w:p>
      <w:pPr>
        <w:pStyle w:val="Heading1"/>
      </w:pPr>
      <w:r>
        <w:t>10 Verification and known limits</w:t>
      </w:r>
    </w:p>
    <w:p>
      <w:pPr>
        <w:pStyle w:val="Heading2"/>
      </w:pPr>
      <w:r>
        <w:t>Automated checks</w:t>
      </w:r>
    </w:p>
    <w:p>
      <w:r>
        <w:t>The version 3 suite contains 32 tests. It covers the prior lifecycle and web controls plus single-use approved execution, stale and expired approval rejection, assignment facility checks, session revocation, task state updates, Remove-review closure prerequisites, operation permissions, blocking the old direct Mover route, and rollback when audit recording fails. Run python -m unittest discover -s tests -v. Full results are included in docs/test-results.txt.</w:t>
      </w:r>
    </w:p>
    <w:p>
      <w:pPr>
        <w:pStyle w:val="Heading2"/>
      </w:pPr>
      <w:r>
        <w:t>Acceptance checks before hosting</w:t>
      </w:r>
    </w:p>
    <w:p>
      <w:r>
        <w:t>1. Exercise the app in desktop and mobile browsers. Confirm filters, pagination, navigation, forms, confirmation prompts and download behaviour.</w:t>
      </w:r>
    </w:p>
    <w:p>
      <w:r>
        <w:t>2. Build the container and test restart with persistent data. Check Caddy certificate issuance, HTTPS cookies and unexposed application ports.</w:t>
      </w:r>
    </w:p>
    <w:p>
      <w:r>
        <w:t>3. Use a test Entra tenant to validate sign-in, MFA policy, mapping, failed login, expiry and logout. Verify separate users cannot cross role boundaries.</w:t>
      </w:r>
    </w:p>
    <w:p>
      <w:r>
        <w:t>4. Back up and restore the database on the target host. Add external monitoring, alerts, dependency scanning and gateway request rate limits.</w:t>
      </w:r>
    </w:p>
    <w:p>
      <w:r>
        <w:t>5. Have an independent reviewer assess permissions, audit storage, data retention and operational recovery before processing sensitive information.</w:t>
      </w:r>
    </w:p>
    <w:p>
      <w:pPr>
        <w:pStyle w:val="Heading2"/>
      </w:pPr>
      <w:r>
        <w:t>What this release does not claim</w:t>
      </w:r>
    </w:p>
    <w:p>
      <w:r>
        <w:t>This software is not certified healthcare software or a complete enterprise IAM platform. Directory writes are mock-only. There is no live Graph provisioning, high availability, database replication, SCIM, SIEM delivery, just-in-time privilege expiry or automatic email service. No real resident records should be entered. The real Entra flow and Docker/TLS deployment remain unverified in the delivery environment.</w:t>
      </w:r>
    </w:p>
    <w:p>
      <w:r>
        <w:t>Approval controls govern the web Mover execution path. Direct Python service calls and offline database edits remain trusted administrative operations. Joiner and Leaver do not require a separate approval. Review exceptions are records, not enforcement overrides. Task resolution is attested, not an automatic fix. Existing Joiner/Leaver audit writes occur separately from their access transaction; only the new governance operations guarantee an atomic audit write. The system uses organisation-wide governance roles rather than granular manager facility scope.</w:t>
      </w:r>
    </w:p>
    <w:p>
      <w:r>
        <w:br w:type="page"/>
      </w:r>
    </w:p>
    <w:p>
      <w:pPr>
        <w:pStyle w:val="Heading1"/>
      </w:pPr>
      <w:r>
        <w:t>11 Database and route reference</w:t>
      </w:r>
    </w:p>
    <w:p>
      <w:r>
        <w:t>SQLite connections enable foreign keys and a 15-second busy timeout; initialisation enables WAL. Version 3 adds request_snapshots, review_closures and remediation_tasks without removing older records. The bundled database contains synthetic demonstration data only.</w:t>
      </w:r>
    </w:p>
    <w:tbl>
      <w:tblPr>
        <w:tblW w:type="auto" w:w="0"/>
        <w:tblLayout w:type="fixed"/>
        <w:tblLook w:firstColumn="1" w:firstRow="1" w:lastColumn="0" w:lastRow="0" w:noHBand="0" w:noVBand="1" w:val="04A0"/>
      </w:tblPr>
      <w:tblGrid>
        <w:gridCol w:w="2520"/>
        <w:gridCol w:w="7272"/>
      </w:tblGrid>
      <w:tr>
        <w:trPr>
          <w:tblHeader/>
        </w:trPr>
        <w:tc>
          <w:tcPr>
            <w:tcW w:type="dxa" w:w="4968"/>
            <w:shd w:fill="24435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color w:val="FFFFFF"/>
                <w:sz w:val="18"/>
              </w:rPr>
              <w:t>Table</w:t>
            </w:r>
          </w:p>
        </w:tc>
        <w:tc>
          <w:tcPr>
            <w:tcW w:type="dxa" w:w="4968"/>
            <w:shd w:fill="24435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color w:val="FFFFFF"/>
                <w:sz w:val="18"/>
              </w:rPr>
              <w:t>Key and purpose</w:t>
            </w:r>
          </w:p>
        </w:tc>
      </w:tr>
      <w:tr>
        <w:tc>
          <w:tcPr>
            <w:tcW w:type="dxa" w:w="2520"/>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employees</w:t>
            </w:r>
          </w:p>
        </w:tc>
        <w:tc>
          <w:tcPr>
            <w:tcW w:type="dxa" w:w="7272"/>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employee_id; workforce attributes, status and simulated identity state</w:t>
            </w:r>
          </w:p>
        </w:tc>
      </w:tr>
      <w:tr>
        <w:tc>
          <w:tcPr>
            <w:tcW w:type="dxa" w:w="25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employee_roles</w:t>
            </w:r>
          </w:p>
        </w:tc>
        <w:tc>
          <w:tcPr>
            <w:tcW w:type="dxa" w:w="727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unique employee_id + role; current portal role grants</w:t>
            </w:r>
          </w:p>
        </w:tc>
      </w:tr>
      <w:tr>
        <w:tc>
          <w:tcPr>
            <w:tcW w:type="dxa" w:w="2520"/>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residents</w:t>
            </w:r>
          </w:p>
        </w:tc>
        <w:tc>
          <w:tcPr>
            <w:tcW w:type="dxa" w:w="7272"/>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resident_id; fictional name, facility and room</w:t>
            </w:r>
          </w:p>
        </w:tc>
      </w:tr>
      <w:tr>
        <w:tc>
          <w:tcPr>
            <w:tcW w:type="dxa" w:w="25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assignments</w:t>
            </w:r>
          </w:p>
        </w:tc>
        <w:tc>
          <w:tcPr>
            <w:tcW w:type="dxa" w:w="727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id; unique worker/resident pair, active flag</w:t>
            </w:r>
          </w:p>
        </w:tc>
      </w:tr>
      <w:tr>
        <w:tc>
          <w:tcPr>
            <w:tcW w:type="dxa" w:w="2520"/>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access_requests</w:t>
            </w:r>
          </w:p>
        </w:tc>
        <w:tc>
          <w:tcPr>
            <w:tcW w:type="dxa" w:w="7272"/>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request_id; target role/facility, reason, decision and status</w:t>
            </w:r>
          </w:p>
        </w:tc>
      </w:tr>
      <w:tr>
        <w:tc>
          <w:tcPr>
            <w:tcW w:type="dxa" w:w="25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request_snapshots</w:t>
            </w:r>
          </w:p>
        </w:tc>
        <w:tc>
          <w:tcPr>
            <w:tcW w:type="dxa" w:w="727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request_id; role/facility at approval and execution metadata</w:t>
            </w:r>
          </w:p>
        </w:tc>
      </w:tr>
      <w:tr>
        <w:tc>
          <w:tcPr>
            <w:tcW w:type="dxa" w:w="2520"/>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access_reviews</w:t>
            </w:r>
          </w:p>
        </w:tc>
        <w:tc>
          <w:tcPr>
            <w:tcW w:type="dxa" w:w="7272"/>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review_id; decision, reason, exception expiry and remediation state</w:t>
            </w:r>
          </w:p>
        </w:tc>
      </w:tr>
      <w:tr>
        <w:tc>
          <w:tcPr>
            <w:tcW w:type="dxa" w:w="25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review_closures</w:t>
            </w:r>
          </w:p>
        </w:tc>
        <w:tc>
          <w:tcPr>
            <w:tcW w:type="dxa" w:w="727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review_id; closing actor, evidence and time</w:t>
            </w:r>
          </w:p>
        </w:tc>
      </w:tr>
      <w:tr>
        <w:tc>
          <w:tcPr>
            <w:tcW w:type="dxa" w:w="2520"/>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remediation_tasks</w:t>
            </w:r>
          </w:p>
        </w:tc>
        <w:tc>
          <w:tcPr>
            <w:tcW w:type="dxa" w:w="7272"/>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task_id; affected worker, owner, priority, state and current evidence</w:t>
            </w:r>
          </w:p>
        </w:tc>
      </w:tr>
      <w:tr>
        <w:tc>
          <w:tcPr>
            <w:tcW w:type="dxa" w:w="25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work_notes</w:t>
            </w:r>
          </w:p>
        </w:tc>
        <w:tc>
          <w:tcPr>
            <w:tcW w:type="dxa" w:w="727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note_id; worker, author, category, body and time</w:t>
            </w:r>
          </w:p>
        </w:tc>
      </w:tr>
      <w:tr>
        <w:tc>
          <w:tcPr>
            <w:tcW w:type="dxa" w:w="2520"/>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sessions</w:t>
            </w:r>
          </w:p>
        </w:tc>
        <w:tc>
          <w:tcPr>
            <w:tcW w:type="dxa" w:w="7272"/>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token; worker, creation and expiry</w:t>
            </w:r>
          </w:p>
        </w:tc>
      </w:tr>
      <w:tr>
        <w:tc>
          <w:tcPr>
            <w:tcW w:type="dxa" w:w="25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blocked_users</w:t>
            </w:r>
          </w:p>
        </w:tc>
        <w:tc>
          <w:tcPr>
            <w:tcW w:type="dxa" w:w="727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employee_id; block time and reason</w:t>
            </w:r>
          </w:p>
        </w:tc>
      </w:tr>
      <w:tr>
        <w:tc>
          <w:tcPr>
            <w:tcW w:type="dxa" w:w="2520"/>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oauth_flows</w:t>
            </w:r>
          </w:p>
        </w:tc>
        <w:tc>
          <w:tcPr>
            <w:tcW w:type="dxa" w:w="7272"/>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state; short-lived MSAL flow and expiry</w:t>
            </w:r>
          </w:p>
        </w:tc>
      </w:tr>
      <w:tr>
        <w:tc>
          <w:tcPr>
            <w:tcW w:type="dxa" w:w="25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audit_events</w:t>
            </w:r>
          </w:p>
        </w:tc>
        <w:tc>
          <w:tcPr>
            <w:tcW w:type="dxa" w:w="727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event_id; actor, target, action, result, correlation and details</w:t>
            </w:r>
          </w:p>
        </w:tc>
      </w:tr>
      <w:tr>
        <w:tc>
          <w:tcPr>
            <w:tcW w:type="dxa" w:w="2520"/>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compliance_findings</w:t>
            </w:r>
          </w:p>
        </w:tc>
        <w:tc>
          <w:tcPr>
            <w:tcW w:type="dxa" w:w="7272"/>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finding_id; scan finding snapshots and resolution metadata</w:t>
            </w:r>
          </w:p>
        </w:tc>
      </w:tr>
    </w:tbl>
    <w:p/>
    <w:p>
      <w:pPr>
        <w:pStyle w:val="Heading2"/>
      </w:pPr>
      <w:r>
        <w:t>State transitions</w:t>
      </w:r>
    </w:p>
    <w:p>
      <w:r>
        <w:t>Access request: Pending to Approved or Rejected; Approved to Implemented after successful execution. Expiry and staleness prevent execution without changing the stored Approved label. Remediation task: Open, In progress or Resolved; reopening is allowed. Access review: Pending to Closed with closure evidence. Assignment: active flag toggles between 1 and 0; records are retained.</w:t>
      </w:r>
    </w:p>
    <w:p>
      <w:r>
        <w:br w:type="page"/>
      </w:r>
    </w:p>
    <w:p>
      <w:pPr>
        <w:pStyle w:val="Heading1"/>
      </w:pPr>
      <w:r>
        <w:t>12 Web interface and maintenance reference</w:t>
      </w:r>
    </w:p>
    <w:tbl>
      <w:tblPr>
        <w:tblW w:type="auto" w:w="0"/>
        <w:tblLayout w:type="fixed"/>
        <w:tblLook w:firstColumn="1" w:firstRow="1" w:lastColumn="0" w:lastRow="0" w:noHBand="0" w:noVBand="1" w:val="04A0"/>
      </w:tblPr>
      <w:tblGrid>
        <w:gridCol w:w="3744"/>
        <w:gridCol w:w="6048"/>
      </w:tblGrid>
      <w:tr>
        <w:trPr>
          <w:tblHeader/>
        </w:trPr>
        <w:tc>
          <w:tcPr>
            <w:tcW w:type="dxa" w:w="4968"/>
            <w:shd w:fill="24435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color w:val="FFFFFF"/>
                <w:sz w:val="18"/>
              </w:rPr>
              <w:t>Route</w:t>
            </w:r>
          </w:p>
        </w:tc>
        <w:tc>
          <w:tcPr>
            <w:tcW w:type="dxa" w:w="4968"/>
            <w:shd w:fill="24435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color w:val="FFFFFF"/>
                <w:sz w:val="18"/>
              </w:rPr>
              <w:t>Method and behaviour</w:t>
            </w:r>
          </w:p>
        </w:tc>
      </w:tr>
      <w:tr>
        <w:tc>
          <w:tcPr>
            <w:tcW w:type="dxa" w:w="3744"/>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 and /login</w:t>
            </w:r>
          </w:p>
        </w:tc>
        <w:tc>
          <w:tcPr>
            <w:tcW w:type="dxa" w:w="6048"/>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GET overview or sign-in; POST /login for local demonstration</w:t>
            </w:r>
          </w:p>
        </w:tc>
      </w:tr>
      <w:tr>
        <w:tc>
          <w:tcPr>
            <w:tcW w:type="dxa" w:w="37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/login/entra and /auth/callback</w:t>
            </w:r>
          </w:p>
        </w:tc>
        <w:tc>
          <w:tcPr>
            <w:tcW w:type="dxa" w:w="60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GET Entra start and callback; POST /logout ends session</w:t>
            </w:r>
          </w:p>
        </w:tc>
      </w:tr>
      <w:tr>
        <w:tc>
          <w:tcPr>
            <w:tcW w:type="dxa" w:w="3744"/>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/employees and /employees/new</w:t>
            </w:r>
          </w:p>
        </w:tc>
        <w:tc>
          <w:tcPr>
            <w:tcW w:type="dxa" w:w="6048"/>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GET directory and Joiner form</w:t>
            </w:r>
          </w:p>
        </w:tc>
      </w:tr>
      <w:tr>
        <w:tc>
          <w:tcPr>
            <w:tcW w:type="dxa" w:w="37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/employees/joiner</w:t>
            </w:r>
          </w:p>
        </w:tc>
        <w:tc>
          <w:tcPr>
            <w:tcW w:type="dxa" w:w="60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POST dry run or create worker</w:t>
            </w:r>
          </w:p>
        </w:tc>
      </w:tr>
      <w:tr>
        <w:tc>
          <w:tcPr>
            <w:tcW w:type="dxa" w:w="3744"/>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/employees/{id}</w:t>
            </w:r>
          </w:p>
        </w:tc>
        <w:tc>
          <w:tcPr>
            <w:tcW w:type="dxa" w:w="6048"/>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GET profile, access state and latest notes</w:t>
            </w:r>
          </w:p>
        </w:tc>
      </w:tr>
      <w:tr>
        <w:tc>
          <w:tcPr>
            <w:tcW w:type="dxa" w:w="37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/employees/{id}/move</w:t>
            </w:r>
          </w:p>
        </w:tc>
        <w:tc>
          <w:tcPr>
            <w:tcW w:type="dxa" w:w="60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GET preview form; POST dry run; direct apply blocked</w:t>
            </w:r>
          </w:p>
        </w:tc>
      </w:tr>
      <w:tr>
        <w:tc>
          <w:tcPr>
            <w:tcW w:type="dxa" w:w="3744"/>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/employees/{id}/leave</w:t>
            </w:r>
          </w:p>
        </w:tc>
        <w:tc>
          <w:tcPr>
            <w:tcW w:type="dxa" w:w="6048"/>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POST operator offboarding</w:t>
            </w:r>
          </w:p>
        </w:tc>
      </w:tr>
      <w:tr>
        <w:tc>
          <w:tcPr>
            <w:tcW w:type="dxa" w:w="37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/requests</w:t>
            </w:r>
          </w:p>
        </w:tc>
        <w:tc>
          <w:tcPr>
            <w:tcW w:type="dxa" w:w="60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GET request list; POST create own request</w:t>
            </w:r>
          </w:p>
        </w:tc>
      </w:tr>
      <w:tr>
        <w:tc>
          <w:tcPr>
            <w:tcW w:type="dxa" w:w="3744"/>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/requests/{id}/decision</w:t>
            </w:r>
          </w:p>
        </w:tc>
        <w:tc>
          <w:tcPr>
            <w:tcW w:type="dxa" w:w="6048"/>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POST independent approve or reject</w:t>
            </w:r>
          </w:p>
        </w:tc>
      </w:tr>
      <w:tr>
        <w:tc>
          <w:tcPr>
            <w:tcW w:type="dxa" w:w="37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/operations</w:t>
            </w:r>
          </w:p>
        </w:tc>
        <w:tc>
          <w:tcPr>
            <w:tcW w:type="dxa" w:w="60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GET control centre; POST action dispatcher</w:t>
            </w:r>
          </w:p>
        </w:tc>
      </w:tr>
      <w:tr>
        <w:tc>
          <w:tcPr>
            <w:tcW w:type="dxa" w:w="3744"/>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/notes</w:t>
            </w:r>
          </w:p>
        </w:tc>
        <w:tc>
          <w:tcPr>
            <w:tcW w:type="dxa" w:w="6048"/>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GET notes/search; POST append a note</w:t>
            </w:r>
          </w:p>
        </w:tc>
      </w:tr>
      <w:tr>
        <w:tc>
          <w:tcPr>
            <w:tcW w:type="dxa" w:w="37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/access-reviews</w:t>
            </w:r>
          </w:p>
        </w:tc>
        <w:tc>
          <w:tcPr>
            <w:tcW w:type="dxa" w:w="60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GET reviews; POST review decision</w:t>
            </w:r>
          </w:p>
        </w:tc>
      </w:tr>
      <w:tr>
        <w:tc>
          <w:tcPr>
            <w:tcW w:type="dxa" w:w="3744"/>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/compliance and /compliance/run</w:t>
            </w:r>
          </w:p>
        </w:tc>
        <w:tc>
          <w:tcPr>
            <w:tcW w:type="dxa" w:w="6048"/>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GET current checks; POST stored scan</w:t>
            </w:r>
          </w:p>
        </w:tc>
      </w:tr>
      <w:tr>
        <w:tc>
          <w:tcPr>
            <w:tcW w:type="dxa" w:w="37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/audit and /exports/{kind}</w:t>
            </w:r>
          </w:p>
        </w:tc>
        <w:tc>
          <w:tcPr>
            <w:tcW w:type="dxa" w:w="60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GET audit and CSV employees, audit or reviews</w:t>
            </w:r>
          </w:p>
        </w:tc>
      </w:tr>
      <w:tr>
        <w:tc>
          <w:tcPr>
            <w:tcW w:type="dxa" w:w="3744"/>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/residents and /protected/*</w:t>
            </w:r>
          </w:p>
        </w:tc>
        <w:tc>
          <w:tcPr>
            <w:tcW w:type="dxa" w:w="6048"/>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GET role/assignment-filtered data and protected examples</w:t>
            </w:r>
          </w:p>
        </w:tc>
      </w:tr>
      <w:tr>
        <w:tc>
          <w:tcPr>
            <w:tcW w:type="dxa" w:w="37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/guide and /requirements</w:t>
            </w:r>
          </w:p>
        </w:tc>
        <w:tc>
          <w:tcPr>
            <w:tcW w:type="dxa" w:w="604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GET help and original readiness checklist</w:t>
            </w:r>
          </w:p>
        </w:tc>
      </w:tr>
      <w:tr>
        <w:tc>
          <w:tcPr>
            <w:tcW w:type="dxa" w:w="3744"/>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/health and /static/*</w:t>
            </w:r>
          </w:p>
        </w:tc>
        <w:tc>
          <w:tcPr>
            <w:tcW w:type="dxa" w:w="6048"/>
            <w:shd w:fill="F2F5F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40" w:lineRule="auto"/>
            </w:pPr>
            <w:r>
              <w:rPr>
                <w:b w:val="0"/>
                <w:color w:val="000000"/>
                <w:sz w:val="18"/>
              </w:rPr>
              <w:t>GET database health probe and application assets</w:t>
            </w:r>
          </w:p>
        </w:tc>
      </w:tr>
    </w:tbl>
    <w:p/>
    <w:p>
      <w:r>
        <w:t>The operations POST action must be execute, assign, unassign, revoke, task, task_update or close_review. Each action checks role and validates fields before committing. Non-execute operations require a 10 to 2,000 character reason. Successful saves redirect to the relevant screen; validation errors show a reason and stop the action. Error pages generally return 400, forbidden operations 403, and conflicting request state 409.</w:t>
      </w:r>
    </w:p>
    <w:p>
      <w:pPr>
        <w:pStyle w:val="Heading2"/>
      </w:pPr>
      <w:r>
        <w:t>Troubleshooting</w:t>
      </w:r>
    </w:p>
    <w:p>
      <w:r>
        <w:t>If Python is unavailable, install it and reopen the terminal. If port 8000 is occupied, stop the conflicting service or set SUNHAVEN_PORT. Reload forms after a restart if CSRF validation expires. Install deployment requirements in the same Python environment as serve.py. Avoid multiple instances using one SQLite file. Inspect server logs for unexpected errors without copying secrets into tickets. After an approved change, sign in again because session revocation is intentional.</w:t>
      </w:r>
    </w:p>
    <w:p>
      <w:r>
        <w:t>Implementation reference: the supplied version 3 Python source, schema, tests, README and docs/DEPLOYMENT.md are the authoritative technical materials for this guide. The older supplied PDFs remain historical project references and do not describe the new execution controls.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Sunhaven Care IAM 3.0  |  Operating and technical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