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Motor Insurance Policy</w:t>
      </w:r>
    </w:p>
    <w:p>
      <w:pPr>
        <w:pStyle w:val="Heading1"/>
      </w:pPr>
      <w:r>
        <w:t>1. Coverage Limits</w:t>
      </w:r>
    </w:p>
    <w:p>
      <w:r>
        <w:t>The maximum coverage limit for this motor policy is ₹1,50,000 per incident.</w:t>
      </w:r>
    </w:p>
    <w:p>
      <w:pPr>
        <w:pStyle w:val="Heading1"/>
      </w:pPr>
      <w:r>
        <w:t>2. Deductibles</w:t>
      </w:r>
    </w:p>
    <w:p>
      <w:r>
        <w:t>A mandatory deductible of ₹10,000 applies to all collision claims.</w:t>
      </w:r>
    </w:p>
    <w:p>
      <w:pPr>
        <w:pStyle w:val="Heading1"/>
      </w:pPr>
      <w:r>
        <w:t>3. Filing Deadlines</w:t>
      </w:r>
    </w:p>
    <w:p>
      <w:r>
        <w:t>All claims must be filed within 7 days of the incident occurrence. Claims filed after this period will be subject to manual review.</w:t>
      </w:r>
    </w:p>
    <w:p>
      <w:pPr>
        <w:pStyle w:val="Heading1"/>
      </w:pPr>
      <w:r>
        <w:t>4. Mandatory Documentation</w:t>
      </w:r>
    </w:p>
    <w:p>
      <w:r>
        <w:t>For any claim exceeding ₹1,00,000, an official First Information Report (FIR) from the police is strictly mandatory.</w:t>
      </w:r>
    </w:p>
    <w:p>
      <w:pPr>
        <w:pStyle w:val="Heading1"/>
      </w:pPr>
      <w:r>
        <w:t>5. Fraud Risk Indicators</w:t>
      </w:r>
    </w:p>
    <w:p>
      <w:r>
        <w:t>More than 2 claims in a 12-month period triggers an automatic fraud-risk review and potential Special Investigative Unit (SIU) escalation.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