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6F30E0" w14:textId="47809C75" w:rsidR="00AD558E" w:rsidRPr="0078559A" w:rsidRDefault="00AD558E" w:rsidP="0078559A">
      <w:pPr>
        <w:jc w:val="both"/>
        <w:rPr>
          <w:rFonts w:ascii="Arial" w:hAnsi="Arial" w:cs="Arial"/>
          <w:sz w:val="24"/>
          <w:szCs w:val="24"/>
        </w:rPr>
      </w:pPr>
      <w:r w:rsidRPr="0078559A">
        <w:rPr>
          <w:rFonts w:ascii="Arial" w:hAnsi="Arial" w:cs="Arial"/>
          <w:sz w:val="24"/>
          <w:szCs w:val="24"/>
        </w:rPr>
        <w:t>Chapter 03 — Prediction Tool for Parkinson’s Disease Risk Using Non</w:t>
      </w:r>
      <w:r w:rsidRPr="0078559A">
        <w:rPr>
          <w:rFonts w:ascii="Cambria Math" w:hAnsi="Cambria Math" w:cs="Cambria Math"/>
          <w:sz w:val="24"/>
          <w:szCs w:val="24"/>
        </w:rPr>
        <w:t>‑</w:t>
      </w:r>
      <w:r w:rsidRPr="0078559A">
        <w:rPr>
          <w:rFonts w:ascii="Arial" w:hAnsi="Arial" w:cs="Arial"/>
          <w:sz w:val="24"/>
          <w:szCs w:val="24"/>
        </w:rPr>
        <w:t>Motor Symptoms (</w:t>
      </w:r>
      <w:r w:rsidR="0078559A" w:rsidRPr="0078559A">
        <w:rPr>
          <w:rFonts w:ascii="Arial" w:hAnsi="Arial" w:cs="Arial"/>
          <w:sz w:val="24"/>
          <w:szCs w:val="24"/>
        </w:rPr>
        <w:t>PD-INSPECT</w:t>
      </w:r>
      <w:r w:rsidRPr="0078559A">
        <w:rPr>
          <w:rFonts w:ascii="Arial" w:hAnsi="Arial" w:cs="Arial"/>
          <w:sz w:val="24"/>
          <w:szCs w:val="24"/>
        </w:rPr>
        <w:t>)</w:t>
      </w:r>
    </w:p>
    <w:p w14:paraId="60EFF844" w14:textId="77777777" w:rsidR="0037388E" w:rsidRPr="0078559A" w:rsidRDefault="0037388E" w:rsidP="0078559A">
      <w:pPr>
        <w:jc w:val="both"/>
        <w:rPr>
          <w:rFonts w:ascii="Arial" w:hAnsi="Arial" w:cs="Arial"/>
          <w:sz w:val="24"/>
          <w:szCs w:val="24"/>
        </w:rPr>
      </w:pPr>
    </w:p>
    <w:p w14:paraId="75B6CE3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Abstract</w:t>
      </w:r>
    </w:p>
    <w:p w14:paraId="50D0AB7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Parkinson’s disease (PD) is a progressive neurodegenerative disorder with a complex and heterogeneous clinical presentation that extends beyond tremor, rigidity, and bradykinesia.[93, 94] Non-motor symptoms (NMS) such as sleep disturbances, autonomic dysfunction, mood changes, cognitive complaints, and olfactory dysfunction may appear early and may dominate the lived experience of patients even when motor impairment is mild.[95, 96] This long prediagnostic interval motivates risk-stratification approaches that can operate before classical motor diagnosis, especially for research screening, referral triage, and enriched recruitment into observational cohorts and prevention-oriented trials.[97–99]</w:t>
      </w:r>
    </w:p>
    <w:p w14:paraId="12206370" w14:textId="6D3A36F9" w:rsidR="00DF6575" w:rsidRPr="0078559A" w:rsidRDefault="00DF6575" w:rsidP="0078559A">
      <w:pPr>
        <w:jc w:val="both"/>
        <w:rPr>
          <w:rFonts w:ascii="Arial" w:hAnsi="Arial" w:cs="Arial"/>
          <w:sz w:val="24"/>
          <w:szCs w:val="24"/>
        </w:rPr>
      </w:pPr>
      <w:r w:rsidRPr="0078559A">
        <w:rPr>
          <w:rFonts w:ascii="Arial" w:hAnsi="Arial" w:cs="Arial"/>
          <w:sz w:val="24"/>
          <w:szCs w:val="24"/>
        </w:rPr>
        <w:t>This chapter presents</w:t>
      </w:r>
      <w:r w:rsidR="0078559A">
        <w:rPr>
          <w:rFonts w:ascii="Arial" w:hAnsi="Arial" w:cs="Arial"/>
          <w:sz w:val="24"/>
          <w:szCs w:val="24"/>
        </w:rPr>
        <w:t xml:space="preserve"> </w:t>
      </w:r>
      <w:r w:rsidR="0078559A" w:rsidRPr="0078559A">
        <w:rPr>
          <w:rFonts w:ascii="Arial" w:hAnsi="Arial" w:cs="Arial"/>
          <w:sz w:val="24"/>
          <w:szCs w:val="24"/>
        </w:rPr>
        <w:t>PD-INSPECT</w:t>
      </w:r>
      <w:r w:rsidRPr="0078559A">
        <w:rPr>
          <w:rFonts w:ascii="Arial" w:hAnsi="Arial" w:cs="Arial"/>
          <w:sz w:val="24"/>
          <w:szCs w:val="24"/>
        </w:rPr>
        <w:t xml:space="preserve">, a stacked ensemble framework designed to estimate PD risk using only NMS-centric clinical features collected in the Parkinson’s Progression Marker Initiative (PPMI) cohort.[103] The system integrates a feature-level ensemble module, a global multivariate model, and a similarity-based patient-neighbourhood module using leakage-controlled stacking. The emphasis is not only on discrimination, but also on missingness tolerance, patient-level evaluation without leakage, and interpretable probability reporting with confidence scoring. </w:t>
      </w:r>
      <w:r w:rsidR="0078559A" w:rsidRPr="0078559A">
        <w:rPr>
          <w:rFonts w:ascii="Arial" w:hAnsi="Arial" w:cs="Arial"/>
          <w:sz w:val="24"/>
          <w:szCs w:val="24"/>
        </w:rPr>
        <w:t>PD-INSPECT</w:t>
      </w:r>
      <w:r w:rsidR="0078559A" w:rsidRPr="0078559A">
        <w:rPr>
          <w:rFonts w:ascii="Arial" w:hAnsi="Arial" w:cs="Arial"/>
          <w:sz w:val="24"/>
          <w:szCs w:val="24"/>
        </w:rPr>
        <w:t xml:space="preserve"> </w:t>
      </w:r>
      <w:r w:rsidRPr="0078559A">
        <w:rPr>
          <w:rFonts w:ascii="Arial" w:hAnsi="Arial" w:cs="Arial"/>
          <w:sz w:val="24"/>
          <w:szCs w:val="24"/>
        </w:rPr>
        <w:t>is implemented as a web-based research-grade tool aligned with established methodological guidance for prediction model development and bias assessment.[104–107]</w:t>
      </w:r>
    </w:p>
    <w:p w14:paraId="7F938CA3" w14:textId="77777777" w:rsidR="00DF6575" w:rsidRPr="0078559A" w:rsidRDefault="00DF6575" w:rsidP="0078559A">
      <w:pPr>
        <w:jc w:val="both"/>
        <w:rPr>
          <w:rFonts w:ascii="Arial" w:hAnsi="Arial" w:cs="Arial"/>
          <w:sz w:val="24"/>
          <w:szCs w:val="24"/>
        </w:rPr>
      </w:pPr>
    </w:p>
    <w:p w14:paraId="5A8737F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Introduction</w:t>
      </w:r>
    </w:p>
    <w:p w14:paraId="4B05901A"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Parkinson’s disease (PD) is increasingly recognised as a multisystem disorder in which non-motor domains may precede classical motor signs by several years.[95, 96] The prediagnostic phase has therefore become an area of active investigation, particularly in the context of prodromal research criteria and early-intervention strategies.[97–99] Risk-stratification approaches that operate using symptom-based inputs may support research screening, referral prioritisation, and enrichment of observational cohorts before definitive clinical diagnosis.[102]</w:t>
      </w:r>
    </w:p>
    <w:p w14:paraId="6065E77B"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In the preceding chapter, a subset of NMS features was prioritised using feature selection and predictive modelling. The translational step addressed here is to operationalise these findings into a usable and robust prediction system capable of accepting routine symptom inputs and returning an interpretable probability estimate. A central practical constraint is incomplete user input. Missing values arise due to workflow variation, time limitations, or patient non-response, and incomplete profiles may destabilise predictions if models are not designed for partial input.[110]</w:t>
      </w:r>
    </w:p>
    <w:p w14:paraId="6230C584" w14:textId="7FA22FDC" w:rsidR="00DF6575" w:rsidRPr="0078559A" w:rsidRDefault="0078559A" w:rsidP="0078559A">
      <w:pPr>
        <w:jc w:val="both"/>
        <w:rPr>
          <w:rFonts w:ascii="Arial" w:hAnsi="Arial" w:cs="Arial"/>
          <w:sz w:val="24"/>
          <w:szCs w:val="24"/>
        </w:rPr>
      </w:pPr>
      <w:r w:rsidRPr="0078559A">
        <w:rPr>
          <w:rFonts w:ascii="Arial" w:hAnsi="Arial" w:cs="Arial"/>
          <w:sz w:val="24"/>
          <w:szCs w:val="24"/>
        </w:rPr>
        <w:t>PD-INSPECT</w:t>
      </w:r>
      <w:r w:rsidRPr="0078559A">
        <w:rPr>
          <w:rFonts w:ascii="Arial" w:hAnsi="Arial" w:cs="Arial"/>
          <w:sz w:val="24"/>
          <w:szCs w:val="24"/>
        </w:rPr>
        <w:t xml:space="preserve"> </w:t>
      </w:r>
      <w:r w:rsidR="00DF6575" w:rsidRPr="0078559A">
        <w:rPr>
          <w:rFonts w:ascii="Arial" w:hAnsi="Arial" w:cs="Arial"/>
          <w:sz w:val="24"/>
          <w:szCs w:val="24"/>
        </w:rPr>
        <w:t>therefore adopts a three-component architecture: a feature-level ensemble that learns signal from individual NMS while remaining robust to missingness; a global model that captures cross-feature interactions; and a similarity-based module that estimates risk through patient neighbourhood patterns when profiles are sparse. Outputs are integrated using leakage-controlled stacking to generate a final probability and an accompanying confidence level. The chapter also documents deployment as a web-based system, acknowledging that conversion of machine-learning models into clinically credible tools requires careful attention to generalisability, bias, calibration, and evaluation design</w:t>
      </w:r>
      <w:r>
        <w:rPr>
          <w:rFonts w:ascii="Arial" w:hAnsi="Arial" w:cs="Arial"/>
          <w:sz w:val="24"/>
          <w:szCs w:val="24"/>
        </w:rPr>
        <w:t xml:space="preserve"> </w:t>
      </w:r>
      <w:r w:rsidR="00DF6575" w:rsidRPr="0078559A">
        <w:rPr>
          <w:rFonts w:ascii="Arial" w:hAnsi="Arial" w:cs="Arial"/>
          <w:sz w:val="24"/>
          <w:szCs w:val="24"/>
        </w:rPr>
        <w:t>[104, 105]</w:t>
      </w:r>
      <w:r>
        <w:rPr>
          <w:rFonts w:ascii="Arial" w:hAnsi="Arial" w:cs="Arial"/>
          <w:sz w:val="24"/>
          <w:szCs w:val="24"/>
        </w:rPr>
        <w:t>.</w:t>
      </w:r>
    </w:p>
    <w:p w14:paraId="0416556A" w14:textId="77777777" w:rsidR="00DF6575" w:rsidRPr="0078559A" w:rsidRDefault="00DF6575" w:rsidP="0078559A">
      <w:pPr>
        <w:jc w:val="both"/>
        <w:rPr>
          <w:rFonts w:ascii="Arial" w:hAnsi="Arial" w:cs="Arial"/>
          <w:sz w:val="24"/>
          <w:szCs w:val="24"/>
        </w:rPr>
      </w:pPr>
    </w:p>
    <w:p w14:paraId="67D76BAB"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Methods</w:t>
      </w:r>
    </w:p>
    <w:p w14:paraId="4E4A66BF"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Data Source and Label Definition</w:t>
      </w:r>
    </w:p>
    <w:p w14:paraId="22081FE8"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lastRenderedPageBreak/>
        <w:t>All analyses use data from the Parkinson’s Progression Marker Initiative (PPMI), a longitudinal, multi-centre observational study created to accelerate the discovery and validation of PD progression markers.[103] PPMI contains repeated measurements across visits, and each participant has a unique identifier (PATNO) enabling patient-level separation.</w:t>
      </w:r>
    </w:p>
    <w:p w14:paraId="622CB56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The class label was derived from the PPMI clinical diagnosis field APPRDX, with APPRDX = 1 mapped to PD and APPRDX = 2 mapped to healthy control. The diagnostic label reflects clinical determination guided by formal diagnostic criteria integrating motor findings, supportive features, and exclusion criteria.[102]</w:t>
      </w:r>
    </w:p>
    <w:p w14:paraId="7015B4B0"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Two derived datasets were constructed:</w:t>
      </w:r>
    </w:p>
    <w:p w14:paraId="202771F0"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Dataset-A (for M1 and M2): Visit-level instances containing at least 5 of 44 NMS features. This included 725 unique participants in training and 182 unique participants in the held-out test split, comprising 142 PD and 40 controls.</w:t>
      </w:r>
    </w:p>
    <w:p w14:paraId="648B42D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Dataset-B (for M3): Participant-level profiles containing at least 22 features, generated by aggregating visit-level measurements into a single PATNO-level vector using mean values.</w:t>
      </w:r>
    </w:p>
    <w:p w14:paraId="4F37C9AE"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All splitting, cross-validation, and reporting were conducted at the patient level to prevent leakage. Patient-level separation is essential when repeated measures are present because naive row-level splitting may inflate performance estimates through leakage.[108, 109]</w:t>
      </w:r>
    </w:p>
    <w:p w14:paraId="1ACEB4A9"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Feature Space and Missing Data Strategy</w:t>
      </w:r>
    </w:p>
    <w:p w14:paraId="1395763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The input space comprises age, sex, and 44 NMS-centric clinical features spanning cognitive tests, autonomic symptom scales, sleep measures, mood and anxiety measures, and olfaction. NMS domains contribute meaningfully to early disease characterisation and multisystem dysfunction in PD.[95, 96]</w:t>
      </w:r>
    </w:p>
    <w:p w14:paraId="4691996C"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Missingness was addressed through model-specific strategies:</w:t>
      </w:r>
    </w:p>
    <w:p w14:paraId="50A5772B"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M1 uses median imputation.</w:t>
      </w:r>
    </w:p>
    <w:p w14:paraId="14B72FA2"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M2 leverages boosted tree split-direction handling of missing values.</w:t>
      </w:r>
    </w:p>
    <w:p w14:paraId="08FCCC3E"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M3 restricts analysis to denser profiles (≥22 features).</w:t>
      </w:r>
    </w:p>
    <w:p w14:paraId="1874DF17"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Machine-learning prediction studies often underreport missing data handling, and inappropriate strategies may undermine reliability.[110] Although multiple imputation is frequently recommended for inferential objectives, imputation choice must align with prediction goals and deployment constraints.[111] PD-PREVeNT prioritises robust prediction under partial input rather than causal inference.</w:t>
      </w:r>
    </w:p>
    <w:p w14:paraId="374F529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System Architecture and Sub-Model Design</w:t>
      </w:r>
    </w:p>
    <w:p w14:paraId="09009ED8" w14:textId="6326CD6E" w:rsidR="00DF6575" w:rsidRPr="0078559A" w:rsidRDefault="00BA3723" w:rsidP="0078559A">
      <w:pPr>
        <w:jc w:val="both"/>
        <w:rPr>
          <w:rFonts w:ascii="Arial" w:hAnsi="Arial" w:cs="Arial"/>
          <w:sz w:val="24"/>
          <w:szCs w:val="24"/>
        </w:rPr>
      </w:pPr>
      <w:r w:rsidRPr="0078559A">
        <w:rPr>
          <w:rFonts w:ascii="Arial" w:hAnsi="Arial" w:cs="Arial"/>
          <w:sz w:val="24"/>
          <w:szCs w:val="24"/>
        </w:rPr>
        <w:t>PD-INSPECT</w:t>
      </w:r>
      <w:r w:rsidR="00DF6575" w:rsidRPr="0078559A">
        <w:rPr>
          <w:rFonts w:ascii="Arial" w:hAnsi="Arial" w:cs="Arial"/>
          <w:sz w:val="24"/>
          <w:szCs w:val="24"/>
        </w:rPr>
        <w:t xml:space="preserve"> is a stacked ensemble comprising three sub-models and a logistic regression meta-learner.</w:t>
      </w:r>
    </w:p>
    <w:p w14:paraId="1246DB74"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M1: Feature-Level Ensemble</w:t>
      </w:r>
    </w:p>
    <w:p w14:paraId="7A981208"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Each NMS feature was modelled individually using logistic regression, linear support vector machine, and gradient boosting with age and sex as covariates. Per-feature probabilities were averaged. Features exceeding a predefined patient-level out-of-fold AUC threshold were retained. Missing feature probabilities at inference were replaced with stored default values derived from the training distribution.</w:t>
      </w:r>
    </w:p>
    <w:p w14:paraId="00396463"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M2: Global Multivariate Model</w:t>
      </w:r>
    </w:p>
    <w:p w14:paraId="32CDE46C"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lastRenderedPageBreak/>
        <w:t>A boosted tree model was trained on the full feature set to capture non-linear interactions and cross-feature dependencies. Tree-based methods permit native handling of missing values.</w:t>
      </w:r>
    </w:p>
    <w:p w14:paraId="44B1964A"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M3: Similarity-Based Collaborative Filtering Module</w:t>
      </w:r>
    </w:p>
    <w:p w14:paraId="770ED0B6"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Patient similarity was computed using Euclidean distance with RBF transformation, cosine similarity, and Pearson correlation. Distance-weighted K-nearest neighbour probabilities were calculated for each metric and averaged to produce the final M3 probability.[115] This module was restricted to denser profiles to reduce instability.</w:t>
      </w:r>
    </w:p>
    <w:p w14:paraId="0ACBF682"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Meta-Learner</w:t>
      </w:r>
    </w:p>
    <w:p w14:paraId="56C4B7AC"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A logistic regression meta-learner combined M1, M2, and M3 probabilities using out-of-fold predictions from patient-level cross-validation. Leakage control was strictly enforced.[108, 109]</w:t>
      </w:r>
    </w:p>
    <w:p w14:paraId="5923B68F" w14:textId="4B83A310" w:rsidR="00DF6575" w:rsidRPr="0078559A" w:rsidRDefault="00DF6575" w:rsidP="0078559A">
      <w:pPr>
        <w:jc w:val="both"/>
        <w:rPr>
          <w:rFonts w:ascii="Arial" w:hAnsi="Arial" w:cs="Arial"/>
          <w:sz w:val="24"/>
          <w:szCs w:val="24"/>
        </w:rPr>
      </w:pPr>
      <w:r w:rsidRPr="0078559A">
        <w:rPr>
          <w:rFonts w:ascii="Arial" w:hAnsi="Arial" w:cs="Arial"/>
          <w:sz w:val="24"/>
          <w:szCs w:val="24"/>
        </w:rPr>
        <w:t>Evaluation Framework</w:t>
      </w:r>
    </w:p>
    <w:p w14:paraId="4A1F8183"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Performance was assessed at the patient level. Visit-level probabilities were averaged per PATNO before classification.</w:t>
      </w:r>
    </w:p>
    <w:p w14:paraId="7C1CA604" w14:textId="47D02C74" w:rsidR="00DF6575" w:rsidRPr="0078559A" w:rsidRDefault="00DF6575" w:rsidP="0078559A">
      <w:pPr>
        <w:jc w:val="both"/>
        <w:rPr>
          <w:rFonts w:ascii="Arial" w:hAnsi="Arial" w:cs="Arial"/>
          <w:sz w:val="24"/>
          <w:szCs w:val="24"/>
        </w:rPr>
      </w:pPr>
      <w:r w:rsidRPr="0078559A">
        <w:rPr>
          <w:rFonts w:ascii="Arial" w:hAnsi="Arial" w:cs="Arial"/>
          <w:sz w:val="24"/>
          <w:szCs w:val="24"/>
        </w:rPr>
        <w:t>Metrics included:</w:t>
      </w:r>
    </w:p>
    <w:p w14:paraId="68A1F54A"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AUC</w:t>
      </w:r>
    </w:p>
    <w:p w14:paraId="061785C7"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Sensitivity</w:t>
      </w:r>
    </w:p>
    <w:p w14:paraId="29B8589A"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Specificity</w:t>
      </w:r>
    </w:p>
    <w:p w14:paraId="4DD9302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Precision</w:t>
      </w:r>
    </w:p>
    <w:p w14:paraId="21D5A9D1"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F1-score</w:t>
      </w:r>
    </w:p>
    <w:p w14:paraId="6DA00690"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Balanced accuracy</w:t>
      </w:r>
    </w:p>
    <w:p w14:paraId="4817669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Brier score</w:t>
      </w:r>
    </w:p>
    <w:p w14:paraId="297CD477"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Calibration was evaluated in recognition that calibration often limits clinical transportability of prediction models.[112, 113] Precision-recall analysis was considered due to class imbalance.[114]</w:t>
      </w:r>
    </w:p>
    <w:p w14:paraId="6AF7A83C"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Explainability and Confidence Estimation</w:t>
      </w:r>
    </w:p>
    <w:p w14:paraId="5E72FF9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For the global model (M2), SHAP-based attribution analysis was performed to estimate feature contributions.[116, 117] Dominant features included olfaction, gastrointestinal variables, urinary and autonomic measures, and cognitive performance. Olfactory dysfunction is recognised as central in PD and measurable using UPSIT frameworks.[100, 101]</w:t>
      </w:r>
    </w:p>
    <w:p w14:paraId="3031F78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Confidence was defined as:</w:t>
      </w:r>
    </w:p>
    <w:p w14:paraId="5347D4FC"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Confidence = 0.70 × margin + 0.30 × consensus.</w:t>
      </w:r>
    </w:p>
    <w:p w14:paraId="16CD239B"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Confidence levels were categorised as high, moderate, low, or very low. This score serves interpretive purposes and does not constitute a clinically validated uncertainty estimate.</w:t>
      </w:r>
    </w:p>
    <w:p w14:paraId="440B3C28"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Deployment</w:t>
      </w:r>
    </w:p>
    <w:p w14:paraId="388C28E9" w14:textId="156E839F" w:rsidR="00DF6575" w:rsidRPr="0078559A" w:rsidRDefault="00BA3723" w:rsidP="0078559A">
      <w:pPr>
        <w:jc w:val="both"/>
        <w:rPr>
          <w:rFonts w:ascii="Arial" w:hAnsi="Arial" w:cs="Arial"/>
          <w:sz w:val="24"/>
          <w:szCs w:val="24"/>
        </w:rPr>
      </w:pPr>
      <w:r w:rsidRPr="0078559A">
        <w:rPr>
          <w:rFonts w:ascii="Arial" w:hAnsi="Arial" w:cs="Arial"/>
          <w:sz w:val="24"/>
          <w:szCs w:val="24"/>
        </w:rPr>
        <w:t>PD-INSPECT</w:t>
      </w:r>
      <w:r w:rsidRPr="0078559A">
        <w:rPr>
          <w:rFonts w:ascii="Arial" w:hAnsi="Arial" w:cs="Arial"/>
          <w:sz w:val="24"/>
          <w:szCs w:val="24"/>
        </w:rPr>
        <w:t xml:space="preserve"> </w:t>
      </w:r>
      <w:r w:rsidR="00DF6575" w:rsidRPr="0078559A">
        <w:rPr>
          <w:rFonts w:ascii="Arial" w:hAnsi="Arial" w:cs="Arial"/>
          <w:sz w:val="24"/>
          <w:szCs w:val="24"/>
        </w:rPr>
        <w:t>was implemented as a Flask-based web application. The system returns final probability, confidence level, sub-model probabilities, and a downloadable PDF summary. Deployment required explicit handling of missing values, input validation, and interpretability, all of which are essential for translation of predictive models into usable systems.[105–107]</w:t>
      </w:r>
    </w:p>
    <w:p w14:paraId="47B81EA7"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Results</w:t>
      </w:r>
    </w:p>
    <w:p w14:paraId="7D7CCDFF"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lastRenderedPageBreak/>
        <w:t>Final Model Performance</w:t>
      </w:r>
    </w:p>
    <w:p w14:paraId="33D9C029"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On the held-out test cohort of 182 participants (142 PD, 40 controls), the stacked ensemble achieved:</w:t>
      </w:r>
    </w:p>
    <w:p w14:paraId="7BB1A182"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AUC: 0.957</w:t>
      </w:r>
    </w:p>
    <w:p w14:paraId="2932C920"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Sensitivity: 0.930</w:t>
      </w:r>
    </w:p>
    <w:p w14:paraId="7CF9AB89" w14:textId="3F556EAC" w:rsidR="00DF6575" w:rsidRPr="0078559A" w:rsidRDefault="00DF6575" w:rsidP="0078559A">
      <w:pPr>
        <w:jc w:val="both"/>
        <w:rPr>
          <w:rFonts w:ascii="Arial" w:hAnsi="Arial" w:cs="Arial"/>
          <w:sz w:val="24"/>
          <w:szCs w:val="24"/>
        </w:rPr>
      </w:pPr>
      <w:r w:rsidRPr="0078559A">
        <w:rPr>
          <w:rFonts w:ascii="Arial" w:hAnsi="Arial" w:cs="Arial"/>
          <w:sz w:val="24"/>
          <w:szCs w:val="24"/>
        </w:rPr>
        <w:t>Specificity: 0.900</w:t>
      </w:r>
    </w:p>
    <w:p w14:paraId="797F66E4" w14:textId="6FB2F45C" w:rsidR="00DF6575" w:rsidRPr="0078559A" w:rsidRDefault="00DF6575" w:rsidP="0078559A">
      <w:pPr>
        <w:jc w:val="both"/>
        <w:rPr>
          <w:rFonts w:ascii="Arial" w:hAnsi="Arial" w:cs="Arial"/>
          <w:sz w:val="24"/>
          <w:szCs w:val="24"/>
        </w:rPr>
      </w:pPr>
      <w:r w:rsidRPr="0078559A">
        <w:rPr>
          <w:rFonts w:ascii="Arial" w:hAnsi="Arial" w:cs="Arial"/>
          <w:sz w:val="24"/>
          <w:szCs w:val="24"/>
        </w:rPr>
        <w:t>Precision: 0.971</w:t>
      </w:r>
    </w:p>
    <w:p w14:paraId="05A8FF1B" w14:textId="0EC9D311" w:rsidR="00DF6575" w:rsidRPr="0078559A" w:rsidRDefault="00DF6575" w:rsidP="0078559A">
      <w:pPr>
        <w:jc w:val="both"/>
        <w:rPr>
          <w:rFonts w:ascii="Arial" w:hAnsi="Arial" w:cs="Arial"/>
          <w:sz w:val="24"/>
          <w:szCs w:val="24"/>
        </w:rPr>
      </w:pPr>
      <w:r w:rsidRPr="0078559A">
        <w:rPr>
          <w:rFonts w:ascii="Arial" w:hAnsi="Arial" w:cs="Arial"/>
          <w:sz w:val="24"/>
          <w:szCs w:val="24"/>
        </w:rPr>
        <w:t>F1-score: 0.950</w:t>
      </w:r>
    </w:p>
    <w:p w14:paraId="65C1E1F0" w14:textId="08F08924" w:rsidR="00DF6575" w:rsidRPr="0078559A" w:rsidRDefault="00DF6575" w:rsidP="0078559A">
      <w:pPr>
        <w:jc w:val="both"/>
        <w:rPr>
          <w:rFonts w:ascii="Arial" w:hAnsi="Arial" w:cs="Arial"/>
          <w:sz w:val="24"/>
          <w:szCs w:val="24"/>
        </w:rPr>
      </w:pPr>
      <w:r w:rsidRPr="0078559A">
        <w:rPr>
          <w:rFonts w:ascii="Arial" w:hAnsi="Arial" w:cs="Arial"/>
          <w:sz w:val="24"/>
          <w:szCs w:val="24"/>
        </w:rPr>
        <w:t>Balanced accuracy: 0.915</w:t>
      </w:r>
    </w:p>
    <w:p w14:paraId="2331C831" w14:textId="2CF332CC" w:rsidR="00DF6575" w:rsidRPr="0078559A" w:rsidRDefault="00DF6575" w:rsidP="0078559A">
      <w:pPr>
        <w:jc w:val="both"/>
        <w:rPr>
          <w:rFonts w:ascii="Arial" w:hAnsi="Arial" w:cs="Arial"/>
          <w:sz w:val="24"/>
          <w:szCs w:val="24"/>
        </w:rPr>
      </w:pPr>
      <w:r w:rsidRPr="0078559A">
        <w:rPr>
          <w:rFonts w:ascii="Arial" w:hAnsi="Arial" w:cs="Arial"/>
          <w:sz w:val="24"/>
          <w:szCs w:val="24"/>
        </w:rPr>
        <w:t>Brier score: 0.062</w:t>
      </w:r>
    </w:p>
    <w:p w14:paraId="05BC9C99" w14:textId="166B4999" w:rsidR="00DF6575" w:rsidRPr="0078559A" w:rsidRDefault="00DF6575" w:rsidP="0078559A">
      <w:pPr>
        <w:jc w:val="both"/>
        <w:rPr>
          <w:rFonts w:ascii="Arial" w:hAnsi="Arial" w:cs="Arial"/>
          <w:sz w:val="24"/>
          <w:szCs w:val="24"/>
        </w:rPr>
      </w:pPr>
      <w:r w:rsidRPr="0078559A">
        <w:rPr>
          <w:rFonts w:ascii="Arial" w:hAnsi="Arial" w:cs="Arial"/>
          <w:sz w:val="24"/>
          <w:szCs w:val="24"/>
        </w:rPr>
        <w:t>Confusion matrix at threshold 0.5:</w:t>
      </w:r>
    </w:p>
    <w:p w14:paraId="65B5E3C8" w14:textId="36312528" w:rsidR="00DF6575" w:rsidRPr="0078559A" w:rsidRDefault="00DF6575" w:rsidP="0078559A">
      <w:pPr>
        <w:jc w:val="both"/>
        <w:rPr>
          <w:rFonts w:ascii="Arial" w:hAnsi="Arial" w:cs="Arial"/>
          <w:sz w:val="24"/>
          <w:szCs w:val="24"/>
        </w:rPr>
      </w:pPr>
      <w:r w:rsidRPr="0078559A">
        <w:rPr>
          <w:rFonts w:ascii="Arial" w:hAnsi="Arial" w:cs="Arial"/>
          <w:sz w:val="24"/>
          <w:szCs w:val="24"/>
        </w:rPr>
        <w:t>True positives: 132</w:t>
      </w:r>
    </w:p>
    <w:p w14:paraId="5A6ACED4" w14:textId="264B6A13" w:rsidR="00DF6575" w:rsidRPr="0078559A" w:rsidRDefault="00DF6575" w:rsidP="0078559A">
      <w:pPr>
        <w:jc w:val="both"/>
        <w:rPr>
          <w:rFonts w:ascii="Arial" w:hAnsi="Arial" w:cs="Arial"/>
          <w:sz w:val="24"/>
          <w:szCs w:val="24"/>
        </w:rPr>
      </w:pPr>
      <w:r w:rsidRPr="0078559A">
        <w:rPr>
          <w:rFonts w:ascii="Arial" w:hAnsi="Arial" w:cs="Arial"/>
          <w:sz w:val="24"/>
          <w:szCs w:val="24"/>
        </w:rPr>
        <w:t>False positives: 4</w:t>
      </w:r>
    </w:p>
    <w:p w14:paraId="248F1E4F" w14:textId="64E7A901" w:rsidR="00DF6575" w:rsidRPr="0078559A" w:rsidRDefault="00DF6575" w:rsidP="0078559A">
      <w:pPr>
        <w:jc w:val="both"/>
        <w:rPr>
          <w:rFonts w:ascii="Arial" w:hAnsi="Arial" w:cs="Arial"/>
          <w:sz w:val="24"/>
          <w:szCs w:val="24"/>
        </w:rPr>
      </w:pPr>
      <w:r w:rsidRPr="0078559A">
        <w:rPr>
          <w:rFonts w:ascii="Arial" w:hAnsi="Arial" w:cs="Arial"/>
          <w:sz w:val="24"/>
          <w:szCs w:val="24"/>
        </w:rPr>
        <w:t>True negatives: 36</w:t>
      </w:r>
    </w:p>
    <w:p w14:paraId="5A4E39DE" w14:textId="2BAB47A1" w:rsidR="00DF6575" w:rsidRPr="0078559A" w:rsidRDefault="00DF6575" w:rsidP="0078559A">
      <w:pPr>
        <w:jc w:val="both"/>
        <w:rPr>
          <w:rFonts w:ascii="Arial" w:hAnsi="Arial" w:cs="Arial"/>
          <w:sz w:val="24"/>
          <w:szCs w:val="24"/>
        </w:rPr>
      </w:pPr>
      <w:r w:rsidRPr="0078559A">
        <w:rPr>
          <w:rFonts w:ascii="Arial" w:hAnsi="Arial" w:cs="Arial"/>
          <w:sz w:val="24"/>
          <w:szCs w:val="24"/>
        </w:rPr>
        <w:t>False negatives: 10</w:t>
      </w:r>
    </w:p>
    <w:p w14:paraId="038C004D" w14:textId="4689F73A" w:rsidR="00DF6575" w:rsidRPr="0078559A" w:rsidRDefault="00DF6575" w:rsidP="0078559A">
      <w:pPr>
        <w:jc w:val="both"/>
        <w:rPr>
          <w:rFonts w:ascii="Arial" w:hAnsi="Arial" w:cs="Arial"/>
          <w:sz w:val="24"/>
          <w:szCs w:val="24"/>
        </w:rPr>
      </w:pPr>
      <w:r w:rsidRPr="0078559A">
        <w:rPr>
          <w:rFonts w:ascii="Arial" w:hAnsi="Arial" w:cs="Arial"/>
          <w:sz w:val="24"/>
          <w:szCs w:val="24"/>
        </w:rPr>
        <w:t>These findings support the design hypothesis that heterogeneous model integration may yield balanced discrimination and specificity in screening-oriented contexts.</w:t>
      </w:r>
    </w:p>
    <w:p w14:paraId="2E53F411" w14:textId="122F9594" w:rsidR="00DF6575" w:rsidRPr="0078559A" w:rsidRDefault="00DF6575" w:rsidP="0078559A">
      <w:pPr>
        <w:jc w:val="both"/>
        <w:rPr>
          <w:rFonts w:ascii="Arial" w:hAnsi="Arial" w:cs="Arial"/>
          <w:sz w:val="24"/>
          <w:szCs w:val="24"/>
        </w:rPr>
      </w:pPr>
      <w:r w:rsidRPr="0078559A">
        <w:rPr>
          <w:rFonts w:ascii="Arial" w:hAnsi="Arial" w:cs="Arial"/>
          <w:sz w:val="24"/>
          <w:szCs w:val="24"/>
        </w:rPr>
        <w:t>Sub-Model Behaviour</w:t>
      </w:r>
    </w:p>
    <w:p w14:paraId="65C6FA34"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M2 demonstrated strong discrimination but showed sensitivity-specificity trade-offs under imbalance.</w:t>
      </w:r>
    </w:p>
    <w:p w14:paraId="1D79886A"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M1 maintained stable behaviour under missingness and improved specificity in stacking.</w:t>
      </w:r>
    </w:p>
    <w:p w14:paraId="0C4972E6" w14:textId="35DE4935" w:rsidR="00DF6575" w:rsidRPr="0078559A" w:rsidRDefault="00DF6575" w:rsidP="0078559A">
      <w:pPr>
        <w:jc w:val="both"/>
        <w:rPr>
          <w:rFonts w:ascii="Arial" w:hAnsi="Arial" w:cs="Arial"/>
          <w:sz w:val="24"/>
          <w:szCs w:val="24"/>
        </w:rPr>
      </w:pPr>
      <w:r w:rsidRPr="0078559A">
        <w:rPr>
          <w:rFonts w:ascii="Arial" w:hAnsi="Arial" w:cs="Arial"/>
          <w:sz w:val="24"/>
          <w:szCs w:val="24"/>
        </w:rPr>
        <w:t>M3 contributed complementary information but was sensitive to sparse profiles.</w:t>
      </w:r>
    </w:p>
    <w:p w14:paraId="686A0572" w14:textId="3C513373" w:rsidR="00DF6575" w:rsidRPr="0078559A" w:rsidRDefault="00DF6575" w:rsidP="0078559A">
      <w:pPr>
        <w:jc w:val="both"/>
        <w:rPr>
          <w:rFonts w:ascii="Arial" w:hAnsi="Arial" w:cs="Arial"/>
          <w:sz w:val="24"/>
          <w:szCs w:val="24"/>
        </w:rPr>
      </w:pPr>
      <w:r w:rsidRPr="0078559A">
        <w:rPr>
          <w:rFonts w:ascii="Arial" w:hAnsi="Arial" w:cs="Arial"/>
          <w:sz w:val="24"/>
          <w:szCs w:val="24"/>
        </w:rPr>
        <w:t>Meta-learner coefficients indicated greater weighting of the most calibrated and stable sub-model, consistent with stacking objectives in clinical prediction.[112, 113]</w:t>
      </w:r>
    </w:p>
    <w:p w14:paraId="677294D4" w14:textId="6EE0ACC7" w:rsidR="00DF6575" w:rsidRPr="0078559A" w:rsidRDefault="00DF6575" w:rsidP="0078559A">
      <w:pPr>
        <w:jc w:val="both"/>
        <w:rPr>
          <w:rFonts w:ascii="Arial" w:hAnsi="Arial" w:cs="Arial"/>
          <w:sz w:val="24"/>
          <w:szCs w:val="24"/>
        </w:rPr>
      </w:pPr>
      <w:r w:rsidRPr="0078559A">
        <w:rPr>
          <w:rFonts w:ascii="Arial" w:hAnsi="Arial" w:cs="Arial"/>
          <w:sz w:val="24"/>
          <w:szCs w:val="24"/>
        </w:rPr>
        <w:t>Explainability Summary</w:t>
      </w:r>
    </w:p>
    <w:p w14:paraId="31C4737D"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SHAP analysis ranked smell-related measures among the most influential predictors, alongside autonomic and cognitive variables. The prominence of olfaction aligns with established evidence for smell impairment in PD.[95, 96, 100, 101] This observation provides conceptual continuity with the subsequent mechanistic investigation in Chapter 04.</w:t>
      </w:r>
    </w:p>
    <w:p w14:paraId="588F6085" w14:textId="77777777" w:rsidR="00DF6575" w:rsidRPr="0078559A" w:rsidRDefault="00DF6575" w:rsidP="0078559A">
      <w:pPr>
        <w:jc w:val="both"/>
        <w:rPr>
          <w:rFonts w:ascii="Arial" w:hAnsi="Arial" w:cs="Arial"/>
          <w:sz w:val="24"/>
          <w:szCs w:val="24"/>
        </w:rPr>
      </w:pPr>
    </w:p>
    <w:p w14:paraId="56ECCEE4" w14:textId="025AC267" w:rsidR="00DF6575" w:rsidRPr="0078559A" w:rsidRDefault="00DF6575" w:rsidP="0078559A">
      <w:pPr>
        <w:jc w:val="both"/>
        <w:rPr>
          <w:rFonts w:ascii="Arial" w:hAnsi="Arial" w:cs="Arial"/>
          <w:sz w:val="24"/>
          <w:szCs w:val="24"/>
        </w:rPr>
      </w:pPr>
      <w:r w:rsidRPr="0078559A">
        <w:rPr>
          <w:rFonts w:ascii="Arial" w:hAnsi="Arial" w:cs="Arial"/>
          <w:sz w:val="24"/>
          <w:szCs w:val="24"/>
        </w:rPr>
        <w:t>Discussion</w:t>
      </w:r>
    </w:p>
    <w:p w14:paraId="3D4C52FB" w14:textId="79991F82" w:rsidR="00DF6575" w:rsidRPr="0078559A" w:rsidRDefault="00DF6575" w:rsidP="0078559A">
      <w:pPr>
        <w:jc w:val="both"/>
        <w:rPr>
          <w:rFonts w:ascii="Arial" w:hAnsi="Arial" w:cs="Arial"/>
          <w:sz w:val="24"/>
          <w:szCs w:val="24"/>
        </w:rPr>
      </w:pPr>
      <w:r w:rsidRPr="0078559A">
        <w:rPr>
          <w:rFonts w:ascii="Arial" w:hAnsi="Arial" w:cs="Arial"/>
          <w:sz w:val="24"/>
          <w:szCs w:val="24"/>
        </w:rPr>
        <w:t>This chapter demonstrates that an NMS-only PD prediction system can be translated into a deployable tool when missingness, leakage control, calibration, and interpretability are explicitly addressed. The stacked ensemble integrates per-feature modelling, multivariate interaction learning, and similarity-based inference to reflect the heterogeneous and incomplete nature of symptom-based input.</w:t>
      </w:r>
    </w:p>
    <w:p w14:paraId="341841EC" w14:textId="0E47D4A6" w:rsidR="00DF6575" w:rsidRPr="0078559A" w:rsidRDefault="00DF6575" w:rsidP="0078559A">
      <w:pPr>
        <w:jc w:val="both"/>
        <w:rPr>
          <w:rFonts w:ascii="Arial" w:hAnsi="Arial" w:cs="Arial"/>
          <w:sz w:val="24"/>
          <w:szCs w:val="24"/>
        </w:rPr>
      </w:pPr>
      <w:r w:rsidRPr="0078559A">
        <w:rPr>
          <w:rFonts w:ascii="Arial" w:hAnsi="Arial" w:cs="Arial"/>
          <w:sz w:val="24"/>
          <w:szCs w:val="24"/>
        </w:rPr>
        <w:t xml:space="preserve">Methodologically, </w:t>
      </w:r>
      <w:r w:rsidR="00BA3723" w:rsidRPr="0078559A">
        <w:rPr>
          <w:rFonts w:ascii="Arial" w:hAnsi="Arial" w:cs="Arial"/>
          <w:sz w:val="24"/>
          <w:szCs w:val="24"/>
        </w:rPr>
        <w:t>PD-INSPECT</w:t>
      </w:r>
      <w:r w:rsidRPr="0078559A">
        <w:rPr>
          <w:rFonts w:ascii="Arial" w:hAnsi="Arial" w:cs="Arial"/>
          <w:sz w:val="24"/>
          <w:szCs w:val="24"/>
        </w:rPr>
        <w:t xml:space="preserve"> aligns with established guidance for transparent reporting and risk-of-bias assessment in prediction modelling.[106, 107] Leakage avoidance and disciplined evaluation </w:t>
      </w:r>
      <w:r w:rsidRPr="0078559A">
        <w:rPr>
          <w:rFonts w:ascii="Arial" w:hAnsi="Arial" w:cs="Arial"/>
          <w:sz w:val="24"/>
          <w:szCs w:val="24"/>
        </w:rPr>
        <w:lastRenderedPageBreak/>
        <w:t>are particularly important in medical machine learning.[108, 109] Calibration assessment further supports responsible interpretation, given its recognised role as a limiting factor in predictive analytics.[112]</w:t>
      </w:r>
    </w:p>
    <w:p w14:paraId="71A7FF45" w14:textId="77777777" w:rsidR="00DF6575" w:rsidRPr="0078559A" w:rsidRDefault="00DF6575" w:rsidP="0078559A">
      <w:pPr>
        <w:jc w:val="both"/>
        <w:rPr>
          <w:rFonts w:ascii="Arial" w:hAnsi="Arial" w:cs="Arial"/>
          <w:sz w:val="24"/>
          <w:szCs w:val="24"/>
        </w:rPr>
      </w:pPr>
      <w:r w:rsidRPr="0078559A">
        <w:rPr>
          <w:rFonts w:ascii="Arial" w:hAnsi="Arial" w:cs="Arial"/>
          <w:sz w:val="24"/>
          <w:szCs w:val="24"/>
        </w:rPr>
        <w:t>Deployment exposed practical considerations such as minimum input requirements, confidence communication, and interpretability. Such translational considerations are frequently identified as barriers to clinical impact even when discrimination appears high.[105]</w:t>
      </w:r>
    </w:p>
    <w:p w14:paraId="54F8F326" w14:textId="77777777" w:rsidR="00DF6575" w:rsidRPr="0078559A" w:rsidRDefault="00DF6575" w:rsidP="0078559A">
      <w:pPr>
        <w:jc w:val="both"/>
        <w:rPr>
          <w:rFonts w:ascii="Arial" w:hAnsi="Arial" w:cs="Arial"/>
          <w:sz w:val="24"/>
          <w:szCs w:val="24"/>
        </w:rPr>
      </w:pPr>
    </w:p>
    <w:p w14:paraId="046FB271" w14:textId="551AA0D6" w:rsidR="00DF6575" w:rsidRPr="0078559A" w:rsidRDefault="00DF6575" w:rsidP="0078559A">
      <w:pPr>
        <w:jc w:val="both"/>
        <w:rPr>
          <w:rFonts w:ascii="Arial" w:hAnsi="Arial" w:cs="Arial"/>
          <w:sz w:val="24"/>
          <w:szCs w:val="24"/>
        </w:rPr>
      </w:pPr>
      <w:r w:rsidRPr="0078559A">
        <w:rPr>
          <w:rFonts w:ascii="Arial" w:hAnsi="Arial" w:cs="Arial"/>
          <w:sz w:val="24"/>
          <w:szCs w:val="24"/>
        </w:rPr>
        <w:t>Conclusion</w:t>
      </w:r>
    </w:p>
    <w:p w14:paraId="75701208" w14:textId="4A53E134" w:rsidR="00AD558E" w:rsidRPr="0078559A" w:rsidRDefault="00925C3A" w:rsidP="0078559A">
      <w:pPr>
        <w:jc w:val="both"/>
        <w:rPr>
          <w:rFonts w:ascii="Arial" w:hAnsi="Arial" w:cs="Arial"/>
          <w:sz w:val="24"/>
          <w:szCs w:val="24"/>
        </w:rPr>
      </w:pPr>
      <w:r w:rsidRPr="0078559A">
        <w:rPr>
          <w:rFonts w:ascii="Arial" w:hAnsi="Arial" w:cs="Arial"/>
          <w:sz w:val="24"/>
          <w:szCs w:val="24"/>
        </w:rPr>
        <w:t>PD-INSPECT</w:t>
      </w:r>
      <w:r w:rsidR="00DF6575" w:rsidRPr="0078559A">
        <w:rPr>
          <w:rFonts w:ascii="Arial" w:hAnsi="Arial" w:cs="Arial"/>
          <w:sz w:val="24"/>
          <w:szCs w:val="24"/>
        </w:rPr>
        <w:t xml:space="preserve"> is a stacked ensemble prediction system for PD risk estimation using NMS-centric clinical inputs derived from PPMI.[103] The system integrates complementary modelling strategies, enforces patient-level leakage control, provides probability with confidence categories, and incorporates explainability for the global model component. The consistent prominence of olfactory dysfunction as a high-impact predictor reinforces its central relevance in PD pathophysiology and justifies the mechanistic focus of the subsequent chapter.[100, 101]</w:t>
      </w:r>
      <w:r w:rsidR="00AD558E" w:rsidRPr="0078559A">
        <w:rPr>
          <w:rFonts w:ascii="Arial" w:hAnsi="Arial" w:cs="Arial"/>
          <w:sz w:val="24"/>
          <w:szCs w:val="24"/>
        </w:rPr>
        <w:t>.</w:t>
      </w:r>
    </w:p>
    <w:p w14:paraId="343365AE" w14:textId="77777777" w:rsidR="00ED1D98" w:rsidRPr="0078559A" w:rsidRDefault="00ED1D98" w:rsidP="0078559A">
      <w:pPr>
        <w:jc w:val="both"/>
        <w:rPr>
          <w:rFonts w:ascii="Arial" w:hAnsi="Arial" w:cs="Arial"/>
          <w:sz w:val="24"/>
          <w:szCs w:val="24"/>
        </w:rPr>
      </w:pPr>
      <w:r w:rsidRPr="0078559A">
        <w:rPr>
          <w:rFonts w:ascii="Arial" w:hAnsi="Arial" w:cs="Arial"/>
          <w:sz w:val="24"/>
          <w:szCs w:val="24"/>
        </w:rPr>
        <w:br w:type="page"/>
      </w:r>
    </w:p>
    <w:p w14:paraId="16283990" w14:textId="053C8169" w:rsidR="00AD558E" w:rsidRPr="0078559A" w:rsidRDefault="00AD558E" w:rsidP="0078559A">
      <w:pPr>
        <w:jc w:val="both"/>
        <w:rPr>
          <w:rFonts w:ascii="Arial" w:hAnsi="Arial" w:cs="Arial"/>
          <w:sz w:val="24"/>
          <w:szCs w:val="24"/>
        </w:rPr>
      </w:pPr>
      <w:r w:rsidRPr="0078559A">
        <w:rPr>
          <w:rFonts w:ascii="Arial" w:hAnsi="Arial" w:cs="Arial"/>
          <w:sz w:val="24"/>
          <w:szCs w:val="24"/>
        </w:rPr>
        <w:lastRenderedPageBreak/>
        <w:t>References</w:t>
      </w:r>
    </w:p>
    <w:p w14:paraId="20350170"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93. Kalia LV, Lang AE. Parkinson’s disease. Lancet. 2015. PMID: 25904081</w:t>
      </w:r>
    </w:p>
    <w:p w14:paraId="2C84DB0A"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94. Poewe W, Seppi K, Tanner CM, et al. Parkinson disease. Nat Rev Dis Primers. 2017. PMID: 28332488</w:t>
      </w:r>
    </w:p>
    <w:p w14:paraId="7FD3CEB1"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95. Chaudhuri KR, Healy DG, Schapira AHV. Non-motor symptoms of Parkinson’s disease: diagnosis and management. Lancet Neurol. 2006. PMID: 16488379</w:t>
      </w:r>
    </w:p>
    <w:p w14:paraId="7BAD681D"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96. Schapira AHV, Chaudhuri KR, Jenner P. Non-motor features of Parkinson disease. Nat Rev Neurosci. 2017. PMID: 28592904</w:t>
      </w:r>
    </w:p>
    <w:p w14:paraId="46801EA4"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97. Noyce AJ, Lees AJ, Schrag AE. The prediagnostic phase of Parkinson’s disease. J Neurol Neurosurg Psychiatry. 2016. PMID: 26848171</w:t>
      </w:r>
    </w:p>
    <w:p w14:paraId="3C244807"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98. Berg D, Postuma RB, Adler CH, et al. MDS research criteria for prodromal Parkinson’s disease. Mov Disord. 2015. PMID: 26474317</w:t>
      </w:r>
    </w:p>
    <w:p w14:paraId="56EC1533"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99. Heinzel S, Berg D, Gasser T, et al. Update of the MDS research criteria for prodromal Parkinson’s disease. Mov Disord. 2019. PMID: 31412427</w:t>
      </w:r>
    </w:p>
    <w:p w14:paraId="39F62B81"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100. Doty RL. Olfactory dysfunction in Parkinson disease. Nat Rev Neurol. 2012. PMID: 22584158</w:t>
      </w:r>
    </w:p>
    <w:p w14:paraId="33EFD5DF"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101. Doty RL, Shaman P, Dann M. Development of the University of Pennsylvania Smell Identification Test (UPSIT). Physiol Behav. 1984. PMID: 6463130</w:t>
      </w:r>
    </w:p>
    <w:p w14:paraId="12EC95F8"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102. Postuma RB, Berg D, Stern M, et al. MDS clinical diagnostic criteria for Parkinson’s disease. Mov Disord. 2015. PMID: 26474316</w:t>
      </w:r>
    </w:p>
    <w:p w14:paraId="19420949"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103. Marek K, Jennings D, Lasch S, et al. The Parkinson Progression Marker Initiative (PPMI). Prog Neurobiol. 2011. PMID: 21930184</w:t>
      </w:r>
    </w:p>
    <w:p w14:paraId="156B0638"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104. Beam AL, Kohane IS. Big Data and Machine Learning in Health Care. JAMA. 2018. PMID: 29532063</w:t>
      </w:r>
    </w:p>
    <w:p w14:paraId="45DA5DDF"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105. Kelly CJ, Karthikesalingam A, Suleyman M, Corrado G, King D. Key challenges for delivering clinical impact with artificial intelligence. BMC Med. 2019. PMID: 31665002</w:t>
      </w:r>
    </w:p>
    <w:p w14:paraId="65501172"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106. Collins GS, Reitsma JB, Altman DG, Moons KGM. Transparent reporting of a multivariable prediction model for individual prognosis or diagnosis (TRIPOD): the TRIPOD statement. BMJ. 2015. PMID: 25569120</w:t>
      </w:r>
    </w:p>
    <w:p w14:paraId="4BBA2FA9"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107. Wolff RF, Moons KGM, Riley RD, et al. PROBAST: A Tool to Assess the Risk of Bias and Applicability of Prediction Model Studies. Ann Intern Med. 2019. PMID: 30596875</w:t>
      </w:r>
    </w:p>
    <w:p w14:paraId="40C339CA"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108. Chiavegatto Filho AD, Batista AFM, Dos Santos HG. Data Leakage in Health Outcomes Prediction With Machine Learning. Comment on “Prediction of Incident Hypertension Within the Next Year: Prospective Study Using Statewide Electronic Health Records and Machine Learning”. J Med Internet Res. 2021. PMID: 33570496</w:t>
      </w:r>
    </w:p>
    <w:p w14:paraId="1C8CDA98"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109. Kapoor S, Narayanan A. Leakage and the reproducibility crisis in machine-learning-based science. Patterns (N Y). 2023. PMID: 37720327</w:t>
      </w:r>
    </w:p>
    <w:p w14:paraId="62AAB562"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110. Nijman SWJ, Groenhof TKJ, et al. Missing data is poorly handled and reported in prediction model studies using machine learning: a literature review. J Clin Epidemiol. 2022. PMID: 34798287</w:t>
      </w:r>
    </w:p>
    <w:p w14:paraId="49FD6B55"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111. Azur MJ, Stuart EA, Frangakis C, Leaf PJ. Multiple imputation by chained equations: what is it and how does it work? Int J Methods Psychiatr Res. 2011. PMID: 21499542</w:t>
      </w:r>
    </w:p>
    <w:p w14:paraId="1A0B89F4"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lastRenderedPageBreak/>
        <w:t>112. Van Calster B, McLernon DJ, van Smeden M, Wynants L, Steyerberg EW. Calibration: the Achilles heel of predictive analytics. BMC Med. 2019. PMID: 31842878</w:t>
      </w:r>
    </w:p>
    <w:p w14:paraId="47B80299"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113. Steyerberg EW, Vickers AJ, Cook NR, et al. Assessing the performance of prediction models: a framework for traditional and novel measures. Epidemiology. 2010. PMID: 20010215</w:t>
      </w:r>
    </w:p>
    <w:p w14:paraId="794880D2"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114. Saito T, Rehmsmeier M. The precision-recall plot is more informative than the ROC plot when evaluating binary classifiers on imbalanced datasets. PLoS One. 2015. PMID: 25738806</w:t>
      </w:r>
    </w:p>
    <w:p w14:paraId="6D82DEF0"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115. Menon AK, Jiang X, Kim J, Vaidya J, Ohno-Machado L. Detecting Inappropriate Access to Electronic Health Records Using Collaborative Filtering. Mach Learn. 2014. PMID: 24683293</w:t>
      </w:r>
    </w:p>
    <w:p w14:paraId="50AF97B2" w14:textId="77777777" w:rsidR="00AD558E" w:rsidRPr="0078559A" w:rsidRDefault="00AD558E" w:rsidP="0078559A">
      <w:pPr>
        <w:jc w:val="both"/>
        <w:rPr>
          <w:rFonts w:ascii="Arial" w:hAnsi="Arial" w:cs="Arial"/>
          <w:sz w:val="24"/>
          <w:szCs w:val="24"/>
        </w:rPr>
      </w:pPr>
      <w:r w:rsidRPr="0078559A">
        <w:rPr>
          <w:rFonts w:ascii="Arial" w:hAnsi="Arial" w:cs="Arial"/>
          <w:sz w:val="24"/>
          <w:szCs w:val="24"/>
        </w:rPr>
        <w:t>116. Lundberg SM, Nair B, Vavilala MS, et al. Explainable machine-learning predictions for the prevention of hypoxaemia during surgery. Nat Biomed Eng. 2018. PMID: 31001455</w:t>
      </w:r>
    </w:p>
    <w:p w14:paraId="078447BE" w14:textId="1CF14CCD" w:rsidR="006D0B63" w:rsidRPr="0078559A" w:rsidRDefault="00AD558E" w:rsidP="0078559A">
      <w:pPr>
        <w:jc w:val="both"/>
        <w:rPr>
          <w:rFonts w:ascii="Arial" w:hAnsi="Arial" w:cs="Arial"/>
          <w:sz w:val="24"/>
          <w:szCs w:val="24"/>
        </w:rPr>
      </w:pPr>
      <w:r w:rsidRPr="0078559A">
        <w:rPr>
          <w:rFonts w:ascii="Arial" w:hAnsi="Arial" w:cs="Arial"/>
          <w:sz w:val="24"/>
          <w:szCs w:val="24"/>
        </w:rPr>
        <w:t>117. Sheu H, Pardeshi M. A Survey on Medical Explainable AI (XAI): Recent Progress, Explainability Approach, Human Interaction and Scoring System. Sensors (Basel). 2022. PMID: 36298417</w:t>
      </w:r>
    </w:p>
    <w:p w14:paraId="701C197B" w14:textId="77777777" w:rsidR="005E793B" w:rsidRPr="0078559A" w:rsidRDefault="005E793B" w:rsidP="0078559A">
      <w:pPr>
        <w:jc w:val="both"/>
        <w:rPr>
          <w:rFonts w:ascii="Arial" w:hAnsi="Arial" w:cs="Arial"/>
          <w:sz w:val="24"/>
          <w:szCs w:val="24"/>
        </w:rPr>
      </w:pPr>
    </w:p>
    <w:sectPr w:rsidR="005E793B" w:rsidRPr="0078559A" w:rsidSect="003607ED">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58E"/>
    <w:rsid w:val="00055899"/>
    <w:rsid w:val="000771C4"/>
    <w:rsid w:val="00245043"/>
    <w:rsid w:val="00276131"/>
    <w:rsid w:val="003607ED"/>
    <w:rsid w:val="0037388E"/>
    <w:rsid w:val="00390988"/>
    <w:rsid w:val="003E0E9A"/>
    <w:rsid w:val="0045576E"/>
    <w:rsid w:val="005E793B"/>
    <w:rsid w:val="006D0B63"/>
    <w:rsid w:val="0071504F"/>
    <w:rsid w:val="00783E24"/>
    <w:rsid w:val="0078559A"/>
    <w:rsid w:val="007F1F3F"/>
    <w:rsid w:val="00925C3A"/>
    <w:rsid w:val="00981438"/>
    <w:rsid w:val="009C005A"/>
    <w:rsid w:val="009E05B8"/>
    <w:rsid w:val="00A81F7E"/>
    <w:rsid w:val="00AC407E"/>
    <w:rsid w:val="00AD2F92"/>
    <w:rsid w:val="00AD558E"/>
    <w:rsid w:val="00B723EE"/>
    <w:rsid w:val="00BA3723"/>
    <w:rsid w:val="00CA001C"/>
    <w:rsid w:val="00D405B1"/>
    <w:rsid w:val="00DC2A53"/>
    <w:rsid w:val="00DE54A8"/>
    <w:rsid w:val="00DF6575"/>
    <w:rsid w:val="00EB1A5B"/>
    <w:rsid w:val="00ED1D98"/>
    <w:rsid w:val="00F25055"/>
    <w:rsid w:val="00F71B8A"/>
    <w:rsid w:val="00FB132A"/>
    <w:rsid w:val="00FC2D01"/>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E4C4D"/>
  <w15:chartTrackingRefBased/>
  <w15:docId w15:val="{3C236A35-95FE-4C79-8DD5-1E1EC4F38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2316</Words>
  <Characters>13206</Characters>
  <Application>Microsoft Office Word</Application>
  <DocSecurity>0</DocSecurity>
  <Lines>110</Lines>
  <Paragraphs>30</Paragraphs>
  <ScaleCrop>false</ScaleCrop>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Zain Office</dc:creator>
  <cp:keywords/>
  <dc:description/>
  <cp:lastModifiedBy>Zain Office</cp:lastModifiedBy>
  <cp:revision>31</cp:revision>
  <dcterms:created xsi:type="dcterms:W3CDTF">2026-02-27T17:10:00Z</dcterms:created>
  <dcterms:modified xsi:type="dcterms:W3CDTF">2026-02-28T10:43:00Z</dcterms:modified>
</cp:coreProperties>
</file>