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  <w:gridCol w:w="8478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${date}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proofErr w:type="spellStart"/>
                  <w:r w:rsidR="00D000D5">
                    <w:fldChar w:fldCharType="begin"/>
                  </w:r>
                  <w:r w:rsidR="00D000D5">
                    <w:instrText xml:space="preserve"> HYPERLINK "mailto:agr.knowledge@xyz.com?subject=Platts%20AD%20trade%20case" </w:instrText>
                  </w:r>
                  <w:r w:rsidR="00D000D5">
                    <w:fldChar w:fldCharType="separate"/>
                  </w:r>
                  <w:r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t>Furkaan</w:t>
                  </w:r>
                  <w:proofErr w:type="spellEnd"/>
                  <w:r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Khan</w:t>
                  </w:r>
                  <w:r w:rsidR="00D000D5"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fldChar w:fldCharType="end"/>
                  </w:r>
                </w:p>
                <w:p w14:paraId="4233CAD4" w14:textId="076EDBC0" w:rsidR="00864660" w:rsidRDefault="00864660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</w:t>
                  </w:r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</w:t>
                  </w:r>
                  <w:proofErr w:type="spellStart"/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twolineblock</w:t>
                  </w:r>
                  <w:proofErr w:type="spellEnd"/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57F8EE7F" w14:textId="16BA3A9E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${headline}</w:t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hyperlink r:id="rId6" w:history="1">
                    <w:r w:rsidR="00696C11">
                      <w:rPr>
                        <w:rStyle w:val="Hyperlink"/>
                        <w:rFonts w:ascii="Arial" w:hAnsi="Arial" w:cs="Arial"/>
                        <w:color w:val="002060"/>
                        <w:sz w:val="22"/>
                        <w:szCs w:val="22"/>
                      </w:rPr>
                      <w:t>${</w:t>
                    </w:r>
                    <w:r w:rsidR="00376F3C">
                      <w:rPr>
                        <w:rStyle w:val="Hyperlink"/>
                        <w:rFonts w:ascii="Arial" w:hAnsi="Arial" w:cs="Arial"/>
                        <w:color w:val="002060"/>
                        <w:sz w:val="22"/>
                        <w:szCs w:val="22"/>
                      </w:rPr>
                      <w:t>l</w:t>
                    </w:r>
                    <w:r w:rsidR="00376F3C">
                      <w:rPr>
                        <w:rStyle w:val="Hyperlink"/>
                        <w:rFonts w:ascii="Arial" w:hAnsi="Arial" w:cs="Arial"/>
                        <w:color w:val="002060"/>
                      </w:rPr>
                      <w:t>ink</w:t>
                    </w:r>
                    <w:r w:rsidR="00696C11">
                      <w:rPr>
                        <w:rStyle w:val="Hyperlink"/>
                        <w:rFonts w:ascii="Arial" w:hAnsi="Arial" w:cs="Arial"/>
                        <w:color w:val="002060"/>
                      </w:rPr>
                      <w:t>}</w:t>
                    </w:r>
                  </w:hyperlink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>$</w:t>
                  </w:r>
                  <w:r>
                    <w:rPr>
                      <w:color w:val="646464"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color w:val="646464"/>
                      <w:sz w:val="20"/>
                      <w:szCs w:val="20"/>
                    </w:rPr>
                    <w:t>twoliner</w:t>
                  </w:r>
                  <w:proofErr w:type="spellEnd"/>
                  <w:r>
                    <w:rPr>
                      <w:color w:val="646464"/>
                      <w:sz w:val="20"/>
                      <w:szCs w:val="20"/>
                    </w:rPr>
                    <w:t>}</w:t>
                  </w:r>
                </w:p>
                <w:p w14:paraId="05821DB0" w14:textId="690D4AB6" w:rsidR="00B314CA" w:rsidRPr="00B314CA" w:rsidRDefault="00B314CA" w:rsidP="00B314CA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{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/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twolineblock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</w:p>
                <w:p w14:paraId="044F6615" w14:textId="6033E9B5" w:rsidR="003F6F94" w:rsidRDefault="003F6F94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newsblock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1A841723" w14:textId="2A807579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${headline}</w:t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hyperlink r:id="rId7" w:history="1">
                    <w:r w:rsidR="00376F3C">
                      <w:rPr>
                        <w:rStyle w:val="Hyperlink"/>
                        <w:rFonts w:ascii="Arial" w:hAnsi="Arial" w:cs="Arial"/>
                        <w:color w:val="002060"/>
                      </w:rPr>
                      <w:t>${link}</w:t>
                    </w:r>
                  </w:hyperlink>
                  <w:r w:rsidR="00864660">
                    <w:rPr>
                      <w:b/>
                    </w:rPr>
                    <w:t>)</w:t>
                  </w:r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${news}</w:t>
                  </w:r>
                </w:p>
                <w:p w14:paraId="7FA96741" w14:textId="20EB2047" w:rsidR="003F6F94" w:rsidRDefault="003F6F94" w:rsidP="003F6F94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/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newsblock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}</w:t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bookmarkStart w:id="0" w:name="_GoBack"/>
                  <w:bookmarkEnd w:id="0"/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360670"/>
    <w:rsid w:val="00376F3C"/>
    <w:rsid w:val="003A118F"/>
    <w:rsid w:val="003F6F94"/>
    <w:rsid w:val="00441D4A"/>
    <w:rsid w:val="0051524B"/>
    <w:rsid w:val="00696C11"/>
    <w:rsid w:val="006D336F"/>
    <w:rsid w:val="00864660"/>
    <w:rsid w:val="00B0070A"/>
    <w:rsid w:val="00B27ABE"/>
    <w:rsid w:val="00B314CA"/>
    <w:rsid w:val="00C51E00"/>
    <w:rsid w:val="00CF403E"/>
    <w:rsid w:val="00D000D5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xampp\htdocs\avnishsharma\public\$%7blink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$%7blink%7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12</cp:revision>
  <dcterms:created xsi:type="dcterms:W3CDTF">2020-02-08T19:41:00Z</dcterms:created>
  <dcterms:modified xsi:type="dcterms:W3CDTF">2020-02-09T14:20:00Z</dcterms:modified>
</cp:coreProperties>
</file>