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9804" w:type="dxa"/>
        <w:jc w:val="center"/>
        <w:tblCellMar>
          <w:left w:w="0" w:type="dxa"/>
          <w:right w:w="0" w:type="dxa"/>
        </w:tblCellMar>
        <w:tblLook w:val="04A0" w:firstRow="1" w:lastRow="0" w:firstColumn="1" w:lastColumn="0" w:noHBand="0" w:noVBand="1"/>
      </w:tblPr>
      <w:tblGrid>
        <w:gridCol w:w="9844"/>
      </w:tblGrid>
      <w:tr w:rsidR="00864660" w14:paraId="7D76350A" w14:textId="77777777" w:rsidTr="00864660">
        <w:trPr>
          <w:jc w:val="center"/>
        </w:trPr>
        <w:tc>
          <w:tcPr>
            <w:tcW w:w="9804" w:type="dxa"/>
            <w:tcBorders>
              <w:top w:val="single" w:sz="8" w:space="0" w:color="D9D9D9"/>
              <w:left w:val="single" w:sz="8" w:space="0" w:color="D9D9D9"/>
              <w:bottom w:val="single" w:sz="8" w:space="0" w:color="D9D9D9"/>
              <w:right w:val="single" w:sz="8" w:space="0" w:color="D9D9D9"/>
            </w:tcBorders>
            <w:tcMar>
              <w:top w:w="567" w:type="dxa"/>
              <w:left w:w="567" w:type="dxa"/>
              <w:bottom w:w="567" w:type="dxa"/>
              <w:right w:w="567" w:type="dxa"/>
            </w:tcMar>
            <w:hideMark/>
          </w:tcPr>
          <w:tbl>
            <w:tblPr>
              <w:tblW w:w="8670" w:type="dxa"/>
              <w:tblCellMar>
                <w:left w:w="0" w:type="dxa"/>
                <w:right w:w="0" w:type="dxa"/>
              </w:tblCellMar>
              <w:tblLook w:val="04A0" w:firstRow="1" w:lastRow="0" w:firstColumn="1" w:lastColumn="0" w:noHBand="0" w:noVBand="1"/>
            </w:tblPr>
            <w:tblGrid>
              <w:gridCol w:w="232"/>
              <w:gridCol w:w="8478"/>
            </w:tblGrid>
            <w:tr w:rsidR="00864660" w14:paraId="3DD66D34" w14:textId="77777777">
              <w:tc>
                <w:tcPr>
                  <w:tcW w:w="227" w:type="dxa"/>
                  <w:gridSpan w:val="2"/>
                  <w:hideMark/>
                </w:tcPr>
                <w:p w14:paraId="4160E8F9" w14:textId="2C21DEF7" w:rsidR="00864660" w:rsidRDefault="00864660">
                  <w:pPr>
                    <w:tabs>
                      <w:tab w:val="left" w:pos="5843"/>
                    </w:tabs>
                    <w:spacing w:before="0" w:after="0" w:line="231" w:lineRule="atLeast"/>
                    <w:rPr>
                      <w:rFonts w:ascii="Calibri" w:eastAsia="Times New Roman" w:hAnsi="Calibri" w:cs="Calibri"/>
                      <w:lang w:eastAsia="en-GB"/>
                    </w:rPr>
                  </w:pPr>
                  <w:r>
                    <w:rPr>
                      <w:i/>
                      <w:noProof/>
                      <w:sz w:val="20"/>
                      <w:szCs w:val="20"/>
                      <w:lang w:val="en-US"/>
                    </w:rPr>
                    <w:drawing>
                      <wp:inline distT="0" distB="0" distL="0" distR="0" wp14:anchorId="681EE4C8" wp14:editId="582F6BC9">
                        <wp:extent cx="5530850" cy="1885738"/>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8BFD.87DEF670"/>
                                <pic:cNvPicPr>
                                  <a:picLocks noChangeAspect="1" noChangeArrowheads="1"/>
                                </pic:cNvPicPr>
                              </pic:nvPicPr>
                              <pic:blipFill rotWithShape="1">
                                <a:blip r:embed="rId5">
                                  <a:extLst>
                                    <a:ext uri="{28A0092B-C50C-407E-A947-70E740481C1C}">
                                      <a14:useLocalDpi xmlns:a14="http://schemas.microsoft.com/office/drawing/2010/main" val="0"/>
                                    </a:ext>
                                  </a:extLst>
                                </a:blip>
                                <a:srcRect l="1129" r="565"/>
                                <a:stretch/>
                              </pic:blipFill>
                              <pic:spPr bwMode="auto">
                                <a:xfrm>
                                  <a:off x="0" y="0"/>
                                  <a:ext cx="5532793" cy="18864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D000D5" w14:paraId="7907894B" w14:textId="77777777">
              <w:tc>
                <w:tcPr>
                  <w:tcW w:w="227" w:type="dxa"/>
                  <w:hideMark/>
                </w:tcPr>
                <w:p w14:paraId="66282813"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t> </w:t>
                  </w:r>
                </w:p>
              </w:tc>
              <w:tc>
                <w:tcPr>
                  <w:tcW w:w="8449" w:type="dxa"/>
                  <w:hideMark/>
                </w:tcPr>
                <w:p w14:paraId="2D9645FB"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t> </w:t>
                  </w:r>
                </w:p>
              </w:tc>
            </w:tr>
            <w:tr w:rsidR="00D000D5" w14:paraId="06C1E2BA" w14:textId="77777777">
              <w:tc>
                <w:tcPr>
                  <w:tcW w:w="227" w:type="dxa"/>
                  <w:hideMark/>
                </w:tcPr>
                <w:p w14:paraId="312AFDA7" w14:textId="77777777" w:rsidR="00864660" w:rsidRDefault="00864660">
                  <w:pPr>
                    <w:spacing w:before="0" w:after="0" w:line="231" w:lineRule="atLeast"/>
                    <w:jc w:val="both"/>
                    <w:rPr>
                      <w:rFonts w:ascii="Calibri" w:eastAsia="Times New Roman" w:hAnsi="Calibri" w:cs="Calibri"/>
                      <w:lang w:eastAsia="en-GB"/>
                    </w:rPr>
                  </w:pPr>
                  <w:r>
                    <w:rPr>
                      <w:rFonts w:ascii="Calibri" w:eastAsia="Times New Roman" w:hAnsi="Calibri" w:cs="Calibri"/>
                      <w:lang w:eastAsia="en-GB"/>
                    </w:rPr>
                    <w:t> </w:t>
                  </w:r>
                </w:p>
              </w:tc>
              <w:tc>
                <w:tcPr>
                  <w:tcW w:w="8449" w:type="dxa"/>
                </w:tcPr>
                <w:p w14:paraId="5951CFCD" w14:textId="77777777" w:rsidR="00864660" w:rsidRDefault="00864660">
                  <w:pPr>
                    <w:spacing w:before="0" w:after="0" w:line="231" w:lineRule="atLeast"/>
                    <w:jc w:val="both"/>
                    <w:rPr>
                      <w:rFonts w:ascii="Calibri" w:eastAsia="Times New Roman" w:hAnsi="Calibri" w:cs="Calibri"/>
                      <w:lang w:eastAsia="en-GB"/>
                    </w:rPr>
                  </w:pPr>
                  <w:r>
                    <w:rPr>
                      <w:rFonts w:ascii="Arial" w:eastAsia="Times New Roman" w:hAnsi="Arial" w:cs="Arial"/>
                      <w:b/>
                      <w:bCs/>
                      <w:color w:val="262626"/>
                      <w:sz w:val="32"/>
                      <w:szCs w:val="32"/>
                      <w:lang w:eastAsia="en-GB"/>
                    </w:rPr>
                    <w:t>Aluminium News Daily</w:t>
                  </w:r>
                </w:p>
                <w:p w14:paraId="329DC709" w14:textId="77777777" w:rsidR="00864660" w:rsidRDefault="00864660">
                  <w:pPr>
                    <w:spacing w:before="0" w:after="0" w:line="231" w:lineRule="atLeast"/>
                    <w:jc w:val="both"/>
                    <w:rPr>
                      <w:rFonts w:ascii="Calibri" w:eastAsia="Times New Roman" w:hAnsi="Calibri" w:cs="Calibri"/>
                      <w:lang w:eastAsia="en-GB"/>
                    </w:rPr>
                  </w:pPr>
                  <w:r>
                    <w:rPr>
                      <w:rFonts w:ascii="Arial" w:eastAsia="Times New Roman" w:hAnsi="Arial" w:cs="Arial"/>
                      <w:color w:val="313131"/>
                      <w:sz w:val="20"/>
                      <w:szCs w:val="20"/>
                      <w:lang w:eastAsia="en-GB"/>
                    </w:rPr>
                    <w:t> </w:t>
                  </w:r>
                </w:p>
                <w:p w14:paraId="69E97CC2" w14:textId="76080388" w:rsidR="00864660" w:rsidRDefault="006D336F" w:rsidP="00C51E00">
                  <w:pPr>
                    <w:spacing w:before="0" w:line="330" w:lineRule="atLeast"/>
                    <w:jc w:val="both"/>
                    <w:rPr>
                      <w:rFonts w:ascii="Arial" w:eastAsia="Times New Roman" w:hAnsi="Arial" w:cs="Arial"/>
                      <w:color w:val="646464"/>
                      <w:sz w:val="20"/>
                      <w:szCs w:val="20"/>
                      <w:lang w:eastAsia="en-GB"/>
                    </w:rPr>
                  </w:pPr>
                  <w:r>
                    <w:rPr>
                      <w:rFonts w:ascii="Arial" w:eastAsia="Times New Roman" w:hAnsi="Arial" w:cs="Arial"/>
                      <w:color w:val="646464"/>
                      <w:sz w:val="20"/>
                      <w:szCs w:val="20"/>
                      <w:lang w:eastAsia="en-GB"/>
                    </w:rPr>
                    <w:t>${date}</w:t>
                  </w:r>
                </w:p>
                <w:p w14:paraId="3D640C2C" w14:textId="31EF4E71" w:rsidR="00864660" w:rsidRDefault="00864660" w:rsidP="00C51E00">
                  <w:pPr>
                    <w:spacing w:before="0" w:line="231" w:lineRule="atLeast"/>
                    <w:rPr>
                      <w:rFonts w:ascii="Calibri" w:eastAsia="Times New Roman" w:hAnsi="Calibri" w:cs="Calibri"/>
                      <w:lang w:eastAsia="en-GB"/>
                    </w:rPr>
                  </w:pPr>
                  <w:r>
                    <w:rPr>
                      <w:rFonts w:ascii="Arial" w:eastAsia="Times New Roman" w:hAnsi="Arial" w:cs="Arial"/>
                      <w:color w:val="646464"/>
                      <w:sz w:val="20"/>
                      <w:szCs w:val="20"/>
                      <w:lang w:eastAsia="en-GB"/>
                    </w:rPr>
                    <w:t>Primary contact </w:t>
                  </w:r>
                  <w:proofErr w:type="spellStart"/>
                  <w:r w:rsidR="00D000D5">
                    <w:fldChar w:fldCharType="begin"/>
                  </w:r>
                  <w:r w:rsidR="00D000D5">
                    <w:instrText xml:space="preserve"> HYPERLINK "mailto:agr.knowledge@xyz.com?subject=Platts%20AD%20trade%20case" </w:instrText>
                  </w:r>
                  <w:r w:rsidR="00D000D5">
                    <w:fldChar w:fldCharType="separate"/>
                  </w:r>
                  <w:r>
                    <w:rPr>
                      <w:rStyle w:val="Hyperlink"/>
                      <w:rFonts w:ascii="Arial" w:hAnsi="Arial" w:cs="Arial"/>
                      <w:color w:val="002060"/>
                      <w:sz w:val="20"/>
                      <w:szCs w:val="20"/>
                    </w:rPr>
                    <w:t>Furkaan</w:t>
                  </w:r>
                  <w:proofErr w:type="spellEnd"/>
                  <w:r>
                    <w:rPr>
                      <w:rStyle w:val="Hyperlink"/>
                      <w:rFonts w:ascii="Arial" w:hAnsi="Arial" w:cs="Arial"/>
                      <w:color w:val="002060"/>
                      <w:sz w:val="20"/>
                      <w:szCs w:val="20"/>
                    </w:rPr>
                    <w:t xml:space="preserve"> Khan</w:t>
                  </w:r>
                  <w:r w:rsidR="00D000D5">
                    <w:rPr>
                      <w:rStyle w:val="Hyperlink"/>
                      <w:rFonts w:ascii="Arial" w:hAnsi="Arial" w:cs="Arial"/>
                      <w:color w:val="002060"/>
                      <w:sz w:val="20"/>
                      <w:szCs w:val="20"/>
                    </w:rPr>
                    <w:fldChar w:fldCharType="end"/>
                  </w:r>
                </w:p>
                <w:p w14:paraId="4233CAD4" w14:textId="77777777" w:rsidR="00864660" w:rsidRDefault="00864660">
                  <w:pPr>
                    <w:spacing w:before="0" w:after="0" w:line="253" w:lineRule="atLeast"/>
                    <w:jc w:val="both"/>
                    <w:rPr>
                      <w:rFonts w:ascii="Calibri" w:eastAsia="Times New Roman" w:hAnsi="Calibri" w:cs="Calibri"/>
                      <w:lang w:eastAsia="en-GB"/>
                    </w:rPr>
                  </w:pPr>
                  <w:r>
                    <w:rPr>
                      <w:rFonts w:ascii="Arial" w:eastAsia="Times New Roman" w:hAnsi="Arial" w:cs="Arial"/>
                      <w:b/>
                      <w:bCs/>
                      <w:lang w:eastAsia="en-GB"/>
                    </w:rPr>
                    <w:t> </w:t>
                  </w:r>
                </w:p>
                <w:p w14:paraId="57F8EE7F" w14:textId="16BA3A9E" w:rsidR="00864660" w:rsidRDefault="00D000D5" w:rsidP="00336015">
                  <w:pPr>
                    <w:pStyle w:val="ListParagraph"/>
                    <w:numPr>
                      <w:ilvl w:val="0"/>
                      <w:numId w:val="3"/>
                    </w:numPr>
                    <w:spacing w:before="0" w:beforeAutospacing="0" w:after="0" w:afterAutospacing="0" w:line="276" w:lineRule="auto"/>
                    <w:ind w:left="375" w:hanging="357"/>
                    <w:jc w:val="both"/>
                    <w:rPr>
                      <w:rFonts w:ascii="Arial" w:hAnsi="Arial" w:cs="Arial"/>
                      <w:b/>
                      <w:bCs/>
                      <w:sz w:val="22"/>
                      <w:szCs w:val="22"/>
                    </w:rPr>
                  </w:pPr>
                  <w:r>
                    <w:rPr>
                      <w:rFonts w:ascii="Arial" w:hAnsi="Arial" w:cs="Arial"/>
                      <w:b/>
                      <w:bCs/>
                      <w:sz w:val="22"/>
                      <w:szCs w:val="22"/>
                    </w:rPr>
                    <w:t>${headline}</w:t>
                  </w:r>
                  <w:r w:rsidR="00864660">
                    <w:rPr>
                      <w:rFonts w:ascii="Arial" w:hAnsi="Arial" w:cs="Arial"/>
                      <w:b/>
                      <w:bCs/>
                      <w:sz w:val="22"/>
                      <w:szCs w:val="22"/>
                    </w:rPr>
                    <w:t xml:space="preserve"> </w:t>
                  </w:r>
                  <w:r w:rsidR="00864660">
                    <w:rPr>
                      <w:rFonts w:ascii="Arial" w:hAnsi="Arial" w:cs="Arial"/>
                      <w:b/>
                      <w:sz w:val="22"/>
                      <w:szCs w:val="22"/>
                    </w:rPr>
                    <w:t>(</w:t>
                  </w:r>
                  <w:hyperlink r:id="rId6" w:history="1">
                    <w:r w:rsidR="00696C11">
                      <w:rPr>
                        <w:rStyle w:val="Hyperlink"/>
                        <w:rFonts w:ascii="Arial" w:hAnsi="Arial" w:cs="Arial"/>
                        <w:color w:val="002060"/>
                        <w:sz w:val="22"/>
                        <w:szCs w:val="22"/>
                      </w:rPr>
                      <w:t>${</w:t>
                    </w:r>
                    <w:r w:rsidR="00376F3C">
                      <w:rPr>
                        <w:rStyle w:val="Hyperlink"/>
                        <w:rFonts w:ascii="Arial" w:hAnsi="Arial" w:cs="Arial"/>
                        <w:color w:val="002060"/>
                        <w:sz w:val="22"/>
                        <w:szCs w:val="22"/>
                      </w:rPr>
                      <w:t>l</w:t>
                    </w:r>
                    <w:r w:rsidR="00376F3C">
                      <w:rPr>
                        <w:rStyle w:val="Hyperlink"/>
                        <w:rFonts w:ascii="Arial" w:hAnsi="Arial" w:cs="Arial"/>
                        <w:color w:val="002060"/>
                      </w:rPr>
                      <w:t>ink</w:t>
                    </w:r>
                    <w:r w:rsidR="00696C11">
                      <w:rPr>
                        <w:rStyle w:val="Hyperlink"/>
                        <w:rFonts w:ascii="Arial" w:hAnsi="Arial" w:cs="Arial"/>
                        <w:color w:val="002060"/>
                      </w:rPr>
                      <w:t>}</w:t>
                    </w:r>
                  </w:hyperlink>
                  <w:r w:rsidR="00864660">
                    <w:rPr>
                      <w:rFonts w:ascii="Arial" w:hAnsi="Arial" w:cs="Arial"/>
                      <w:b/>
                      <w:sz w:val="22"/>
                      <w:szCs w:val="22"/>
                    </w:rPr>
                    <w:t>)</w:t>
                  </w:r>
                </w:p>
                <w:p w14:paraId="03E262EB" w14:textId="06A120E8" w:rsidR="00864660" w:rsidRDefault="00D000D5">
                  <w:pPr>
                    <w:pStyle w:val="ListParagraph"/>
                    <w:spacing w:before="0" w:beforeAutospacing="0" w:after="120" w:afterAutospacing="0" w:line="276" w:lineRule="auto"/>
                    <w:ind w:left="374"/>
                    <w:jc w:val="both"/>
                    <w:rPr>
                      <w:rFonts w:ascii="Arial" w:hAnsi="Arial" w:cs="Arial"/>
                      <w:color w:val="646464"/>
                      <w:sz w:val="20"/>
                      <w:szCs w:val="20"/>
                    </w:rPr>
                  </w:pPr>
                  <w:r>
                    <w:rPr>
                      <w:rFonts w:ascii="Arial" w:hAnsi="Arial" w:cs="Arial"/>
                      <w:color w:val="646464"/>
                      <w:sz w:val="20"/>
                      <w:szCs w:val="20"/>
                    </w:rPr>
                    <w:t>$</w:t>
                  </w:r>
                  <w:r>
                    <w:rPr>
                      <w:color w:val="646464"/>
                      <w:sz w:val="20"/>
                      <w:szCs w:val="20"/>
                    </w:rPr>
                    <w:t>{</w:t>
                  </w:r>
                  <w:proofErr w:type="spellStart"/>
                  <w:r>
                    <w:rPr>
                      <w:color w:val="646464"/>
                      <w:sz w:val="20"/>
                      <w:szCs w:val="20"/>
                    </w:rPr>
                    <w:t>twoliner</w:t>
                  </w:r>
                  <w:proofErr w:type="spellEnd"/>
                  <w:r>
                    <w:rPr>
                      <w:color w:val="646464"/>
                      <w:sz w:val="20"/>
                      <w:szCs w:val="20"/>
                    </w:rPr>
                    <w:t>}</w:t>
                  </w:r>
                </w:p>
                <w:p w14:paraId="1EF9909D" w14:textId="57F58941" w:rsidR="00864660" w:rsidRDefault="00D000D5" w:rsidP="00336015">
                  <w:pPr>
                    <w:pStyle w:val="ListParagraph"/>
                    <w:numPr>
                      <w:ilvl w:val="0"/>
                      <w:numId w:val="2"/>
                    </w:numPr>
                    <w:spacing w:before="0" w:beforeAutospacing="0" w:after="0" w:afterAutospacing="0" w:line="276" w:lineRule="auto"/>
                    <w:ind w:left="375" w:hanging="357"/>
                    <w:jc w:val="both"/>
                    <w:rPr>
                      <w:rFonts w:ascii="Arial" w:hAnsi="Arial" w:cs="Arial"/>
                      <w:b/>
                      <w:bCs/>
                      <w:sz w:val="22"/>
                      <w:szCs w:val="22"/>
                    </w:rPr>
                  </w:pPr>
                  <w:r>
                    <w:rPr>
                      <w:rFonts w:ascii="Arial" w:hAnsi="Arial" w:cs="Arial"/>
                      <w:b/>
                      <w:bCs/>
                      <w:sz w:val="22"/>
                      <w:szCs w:val="22"/>
                    </w:rPr>
                    <w:t xml:space="preserve">${headline} </w:t>
                  </w:r>
                  <w:r w:rsidR="00864660">
                    <w:rPr>
                      <w:rFonts w:ascii="Arial" w:hAnsi="Arial" w:cs="Arial"/>
                      <w:b/>
                      <w:bCs/>
                      <w:sz w:val="22"/>
                      <w:szCs w:val="22"/>
                    </w:rPr>
                    <w:t>(</w:t>
                  </w:r>
                  <w:hyperlink r:id="rId7" w:history="1">
                    <w:r w:rsidR="00864660">
                      <w:rPr>
                        <w:rStyle w:val="Hyperlink"/>
                        <w:rFonts w:ascii="Arial" w:hAnsi="Arial" w:cs="Arial"/>
                        <w:color w:val="002060"/>
                        <w:sz w:val="22"/>
                        <w:szCs w:val="22"/>
                      </w:rPr>
                      <w:t>Business Standard</w:t>
                    </w:r>
                  </w:hyperlink>
                  <w:r w:rsidR="00864660">
                    <w:rPr>
                      <w:rFonts w:ascii="Arial" w:hAnsi="Arial" w:cs="Arial"/>
                      <w:b/>
                      <w:bCs/>
                      <w:sz w:val="22"/>
                      <w:szCs w:val="22"/>
                    </w:rPr>
                    <w:t>)</w:t>
                  </w:r>
                </w:p>
                <w:p w14:paraId="672D9633" w14:textId="3F66EC6E" w:rsidR="00864660" w:rsidRDefault="00864660">
                  <w:pPr>
                    <w:pStyle w:val="ListParagraph"/>
                    <w:spacing w:before="0" w:beforeAutospacing="0" w:after="120" w:afterAutospacing="0" w:line="276" w:lineRule="auto"/>
                    <w:ind w:left="374"/>
                    <w:jc w:val="both"/>
                    <w:rPr>
                      <w:rFonts w:ascii="Arial" w:hAnsi="Arial" w:cs="Arial"/>
                      <w:color w:val="646464"/>
                      <w:sz w:val="20"/>
                      <w:szCs w:val="20"/>
                    </w:rPr>
                  </w:pPr>
                  <w:r>
                    <w:rPr>
                      <w:rFonts w:ascii="Arial" w:hAnsi="Arial" w:cs="Arial"/>
                      <w:color w:val="646464"/>
                      <w:sz w:val="20"/>
                      <w:szCs w:val="20"/>
                    </w:rPr>
                    <w:t>India’s 1HFY19 aluminium exports total 772Kt (</w:t>
                  </w:r>
                  <w:r w:rsidR="00C51E00">
                    <w:rPr>
                      <w:rFonts w:ascii="Arial" w:hAnsi="Arial" w:cs="Arial"/>
                      <w:color w:val="646464"/>
                      <w:sz w:val="20"/>
                      <w:szCs w:val="20"/>
                    </w:rPr>
                    <w:sym w:font="Wingdings" w:char="F0E1"/>
                  </w:r>
                  <w:r>
                    <w:rPr>
                      <w:rFonts w:ascii="Arial" w:hAnsi="Arial" w:cs="Arial"/>
                      <w:color w:val="646464"/>
                      <w:sz w:val="20"/>
                      <w:szCs w:val="20"/>
                    </w:rPr>
                    <w:t>21%YoY)</w:t>
                  </w:r>
                </w:p>
                <w:p w14:paraId="5AE80116" w14:textId="77777777" w:rsidR="00864660" w:rsidRDefault="00864660">
                  <w:pPr>
                    <w:spacing w:before="0" w:after="0" w:line="253" w:lineRule="atLeast"/>
                    <w:jc w:val="both"/>
                    <w:rPr>
                      <w:rFonts w:ascii="Arial" w:eastAsia="Times New Roman" w:hAnsi="Arial" w:cs="Arial"/>
                      <w:b/>
                      <w:bCs/>
                      <w:lang w:eastAsia="en-GB"/>
                    </w:rPr>
                  </w:pPr>
                  <w:bookmarkStart w:id="0" w:name="_GoBack"/>
                  <w:bookmarkEnd w:id="0"/>
                </w:p>
                <w:p w14:paraId="1A841723" w14:textId="2A807579" w:rsidR="00864660" w:rsidRDefault="00D000D5">
                  <w:pPr>
                    <w:spacing w:before="0" w:after="0" w:line="276" w:lineRule="auto"/>
                    <w:jc w:val="both"/>
                    <w:rPr>
                      <w:b/>
                    </w:rPr>
                  </w:pPr>
                  <w:r>
                    <w:rPr>
                      <w:rFonts w:ascii="Arial" w:eastAsia="Times New Roman" w:hAnsi="Arial" w:cs="Arial"/>
                      <w:b/>
                      <w:bCs/>
                      <w:lang w:eastAsia="en-GB"/>
                    </w:rPr>
                    <w:t>${headline}</w:t>
                  </w:r>
                  <w:r w:rsidR="00B0070A">
                    <w:rPr>
                      <w:rFonts w:ascii="Arial" w:eastAsia="Times New Roman" w:hAnsi="Arial" w:cs="Arial"/>
                      <w:b/>
                      <w:bCs/>
                      <w:lang w:eastAsia="en-GB"/>
                    </w:rPr>
                    <w:t xml:space="preserve"> </w:t>
                  </w:r>
                  <w:r w:rsidR="00864660">
                    <w:rPr>
                      <w:b/>
                    </w:rPr>
                    <w:t>(</w:t>
                  </w:r>
                  <w:hyperlink r:id="rId8" w:history="1">
                    <w:r w:rsidR="00376F3C">
                      <w:rPr>
                        <w:rStyle w:val="Hyperlink"/>
                        <w:rFonts w:ascii="Arial" w:hAnsi="Arial" w:cs="Arial"/>
                        <w:color w:val="002060"/>
                      </w:rPr>
                      <w:t>${link}</w:t>
                    </w:r>
                  </w:hyperlink>
                  <w:r w:rsidR="00864660">
                    <w:rPr>
                      <w:b/>
                    </w:rPr>
                    <w:t>)</w:t>
                  </w:r>
                </w:p>
                <w:p w14:paraId="58785728" w14:textId="0A5F2372" w:rsidR="00864660" w:rsidRDefault="00D000D5">
                  <w:pPr>
                    <w:spacing w:before="0" w:after="0" w:line="276" w:lineRule="auto"/>
                    <w:jc w:val="both"/>
                    <w:rPr>
                      <w:rFonts w:ascii="Arial" w:eastAsia="Times New Roman" w:hAnsi="Arial" w:cs="Arial"/>
                      <w:color w:val="646464"/>
                      <w:sz w:val="20"/>
                      <w:szCs w:val="20"/>
                      <w:lang w:eastAsia="en-GB"/>
                    </w:rPr>
                  </w:pPr>
                  <w:r>
                    <w:rPr>
                      <w:rFonts w:ascii="Arial" w:eastAsia="Times New Roman" w:hAnsi="Arial" w:cs="Arial"/>
                      <w:color w:val="646464"/>
                      <w:sz w:val="20"/>
                      <w:szCs w:val="20"/>
                      <w:lang w:eastAsia="en-GB"/>
                    </w:rPr>
                    <w:t>${news}</w:t>
                  </w:r>
                </w:p>
                <w:p w14:paraId="1BB47146" w14:textId="77777777" w:rsidR="00864660" w:rsidRDefault="00864660">
                  <w:pPr>
                    <w:spacing w:before="0" w:after="0" w:line="276" w:lineRule="auto"/>
                    <w:jc w:val="both"/>
                    <w:rPr>
                      <w:rFonts w:ascii="Arial" w:eastAsia="Times New Roman" w:hAnsi="Arial" w:cs="Arial"/>
                      <w:b/>
                      <w:bCs/>
                      <w:lang w:eastAsia="en-GB"/>
                    </w:rPr>
                  </w:pPr>
                </w:p>
                <w:p w14:paraId="746A58CD" w14:textId="77777777" w:rsidR="00864660" w:rsidRDefault="00864660">
                  <w:pPr>
                    <w:spacing w:before="0" w:after="0" w:line="276" w:lineRule="auto"/>
                    <w:jc w:val="both"/>
                    <w:rPr>
                      <w:b/>
                    </w:rPr>
                  </w:pPr>
                  <w:r>
                    <w:rPr>
                      <w:rFonts w:ascii="Arial" w:eastAsia="Times New Roman" w:hAnsi="Arial" w:cs="Arial"/>
                      <w:b/>
                      <w:bCs/>
                      <w:lang w:eastAsia="en-GB"/>
                    </w:rPr>
                    <w:t>Primary aluminium exports jump 21% in H1, but producers hit by import surge</w:t>
                  </w:r>
                  <w:r>
                    <w:rPr>
                      <w:b/>
                    </w:rPr>
                    <w:t xml:space="preserve"> (</w:t>
                  </w:r>
                  <w:hyperlink r:id="rId9" w:history="1">
                    <w:r>
                      <w:rPr>
                        <w:rStyle w:val="Hyperlink"/>
                        <w:rFonts w:ascii="Arial" w:eastAsia="Times New Roman" w:hAnsi="Arial" w:cs="Arial"/>
                        <w:color w:val="002060"/>
                        <w:lang w:eastAsia="en-GB"/>
                      </w:rPr>
                      <w:t>Business Standard</w:t>
                    </w:r>
                  </w:hyperlink>
                  <w:r>
                    <w:rPr>
                      <w:b/>
                    </w:rPr>
                    <w:t>)</w:t>
                  </w:r>
                </w:p>
                <w:p w14:paraId="2EDDB087" w14:textId="77777777" w:rsidR="00864660" w:rsidRDefault="00864660">
                  <w:pPr>
                    <w:spacing w:before="0" w:after="0" w:line="276" w:lineRule="auto"/>
                    <w:jc w:val="both"/>
                    <w:rPr>
                      <w:rFonts w:ascii="Arial" w:eastAsia="Times New Roman" w:hAnsi="Arial" w:cs="Arial"/>
                      <w:color w:val="646464"/>
                      <w:sz w:val="20"/>
                      <w:szCs w:val="20"/>
                      <w:lang w:eastAsia="en-GB"/>
                    </w:rPr>
                  </w:pPr>
                  <w:r>
                    <w:rPr>
                      <w:rFonts w:ascii="Arial" w:eastAsia="Times New Roman" w:hAnsi="Arial" w:cs="Arial"/>
                      <w:color w:val="646464"/>
                      <w:sz w:val="20"/>
                      <w:szCs w:val="20"/>
                      <w:lang w:eastAsia="en-GB"/>
                    </w:rPr>
                    <w:t xml:space="preserve">The country's primary aluminium exports have recorded a 21 per cent spike in H1 (April-September period) of this financial year, fuelled by a surge in aluminium imports of primary and fake semis. Industry data shows that in HI of FY19, exports of aluminium ingots reached 772,000 tonnes in volumes, up from 638,000 tonnes in the corresponding period of the last financial year. Primary producers maintain that exports have been driven by a consistent spate of imports and not by the US-China trade war. Post the trade conflict, the country's aluminium exports have slowed to nine per cent, they claim, disowning the allegations from the Aluminium Secondary Producers Association (ASMA). ASMA opined that the trade war between the US and China has come as a blessing in disguise to primary producers as they are exporting a huge quantity of aluminium billets and ingots. "The trade war and sanctions of </w:t>
                  </w:r>
                  <w:proofErr w:type="spellStart"/>
                  <w:r>
                    <w:rPr>
                      <w:rFonts w:ascii="Arial" w:eastAsia="Times New Roman" w:hAnsi="Arial" w:cs="Arial"/>
                      <w:color w:val="646464"/>
                      <w:sz w:val="20"/>
                      <w:szCs w:val="20"/>
                      <w:lang w:eastAsia="en-GB"/>
                    </w:rPr>
                    <w:t>Rusal</w:t>
                  </w:r>
                  <w:proofErr w:type="spellEnd"/>
                  <w:r>
                    <w:rPr>
                      <w:rFonts w:ascii="Arial" w:eastAsia="Times New Roman" w:hAnsi="Arial" w:cs="Arial"/>
                      <w:color w:val="646464"/>
                      <w:sz w:val="20"/>
                      <w:szCs w:val="20"/>
                      <w:lang w:eastAsia="en-GB"/>
                    </w:rPr>
                    <w:t xml:space="preserve"> has opened many newer avenues to them to export metal in other countries where premiums are much higher than MJP (Main Japanese Ports) and also better exports benefits. Vedanta, a prominent exporter, has produced and exported 420,000 tonnes of metal in the first six months of the current financial year in their SEZ (Special Economic Zone) plant alone as compared to 666,000 tonnes in the </w:t>
                  </w:r>
                  <w:r>
                    <w:rPr>
                      <w:rFonts w:ascii="Arial" w:eastAsia="Times New Roman" w:hAnsi="Arial" w:cs="Arial"/>
                      <w:color w:val="646464"/>
                      <w:sz w:val="20"/>
                      <w:szCs w:val="20"/>
                      <w:lang w:eastAsia="en-GB"/>
                    </w:rPr>
                    <w:lastRenderedPageBreak/>
                    <w:t xml:space="preserve">whole of last year," the association said in an e-mailed response to Business Standard. Primary producers -- represented by Vedanta Ltd, National Aluminium Company (Nalco) and Hindalco Industries -- countered ASMA's claims. According to primary producers, an unhindered growth in imports is steadily eroding their market share. While the US-China trade tussle has not impacted premiums for the primary producers, the 10 per cent tariff on all aluminium products imported into the US has hurt the Indian exporters as well. "Overall, in the past seven years, imports have grown at a CAGR (compounded annual growth rate) of 12 per cent; as a result of which, the market share for imports in domestic consumption has increased to 60 per cent compared to 40 per cent in FY11. This has been a serious threat for the domestic industry, which invested heavily into upstream capacity over the last few years. Thus, it is left with no choice but to export its surplus production," an industry source said. Cheaper metal from China is flooding the Indian market in the form of fake semis. Such products are metal exported from China in coil form to claim the VAT (value added tax) rebate incentive offered by the Chinese government for downstream exports. Figures from the primary producers estimate fake semis imports from China at 68,000 tonnes in April-October, soaring 14 times compared to the year-ago period. Primary producers are feeling slighted in the domestic market as imports of fake semis and downstream products from China has vaulted 62 per cent year-on-year (y-o-y) during April-October. Apart from the Chinese </w:t>
                  </w:r>
                  <w:proofErr w:type="gramStart"/>
                  <w:r>
                    <w:rPr>
                      <w:rFonts w:ascii="Arial" w:eastAsia="Times New Roman" w:hAnsi="Arial" w:cs="Arial"/>
                      <w:color w:val="646464"/>
                      <w:sz w:val="20"/>
                      <w:szCs w:val="20"/>
                      <w:lang w:eastAsia="en-GB"/>
                    </w:rPr>
                    <w:t>imports</w:t>
                  </w:r>
                  <w:proofErr w:type="gramEnd"/>
                  <w:r>
                    <w:rPr>
                      <w:rFonts w:ascii="Arial" w:eastAsia="Times New Roman" w:hAnsi="Arial" w:cs="Arial"/>
                      <w:color w:val="646464"/>
                      <w:sz w:val="20"/>
                      <w:szCs w:val="20"/>
                      <w:lang w:eastAsia="en-GB"/>
                    </w:rPr>
                    <w:t xml:space="preserve"> onslaught, India's FTA (Free Trade Agreement) partners, especially the ASEAN countries, continue to expand their presence in primary aluminium segment, registering 24 per cent y-o-y growth. Overall scrap imports rose 22 per cent y-o-y in this period, with the US clocking the largest growth of 143 per cent after China levied 25 per cent import duty on scraps sourced from the US. Aluminium consumption in the country between April and October 2018 rose 14 per cent y-o-y. Production, too, moved up in line with demand at 14 per cent. But the firm domestic growth story was dented by swelling imports. The incremental domestic demand of 286,000 tonnes was overwhelmingly met by imports of 267,000 tonnes. The import surge stifled the domestic producers who had to be content with a measly two per cent sales growth in this period.</w:t>
                  </w:r>
                </w:p>
                <w:p w14:paraId="2F91C867" w14:textId="77777777" w:rsidR="00864660" w:rsidRDefault="00864660" w:rsidP="00C51E00">
                  <w:pPr>
                    <w:spacing w:before="0" w:after="0" w:line="276" w:lineRule="auto"/>
                    <w:jc w:val="both"/>
                    <w:rPr>
                      <w:rFonts w:ascii="Arial" w:eastAsia="Times New Roman" w:hAnsi="Arial" w:cs="Arial"/>
                      <w:color w:val="646464"/>
                      <w:sz w:val="20"/>
                      <w:szCs w:val="20"/>
                      <w:lang w:eastAsia="en-GB"/>
                    </w:rPr>
                  </w:pPr>
                </w:p>
              </w:tc>
            </w:tr>
            <w:tr w:rsidR="00D000D5" w14:paraId="20189DFF" w14:textId="77777777">
              <w:tc>
                <w:tcPr>
                  <w:tcW w:w="227" w:type="dxa"/>
                  <w:hideMark/>
                </w:tcPr>
                <w:p w14:paraId="57239BBD"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lastRenderedPageBreak/>
                    <w:t> </w:t>
                  </w:r>
                </w:p>
              </w:tc>
              <w:tc>
                <w:tcPr>
                  <w:tcW w:w="8449" w:type="dxa"/>
                  <w:tcBorders>
                    <w:top w:val="nil"/>
                    <w:left w:val="nil"/>
                    <w:bottom w:val="single" w:sz="8" w:space="0" w:color="D9D9D9"/>
                    <w:right w:val="nil"/>
                  </w:tcBorders>
                  <w:hideMark/>
                </w:tcPr>
                <w:p w14:paraId="0C1A74E9" w14:textId="77777777" w:rsidR="00864660" w:rsidRDefault="00864660">
                  <w:pPr>
                    <w:spacing w:before="240" w:after="0" w:line="231" w:lineRule="atLeast"/>
                    <w:rPr>
                      <w:rFonts w:ascii="Calibri" w:eastAsia="Times New Roman" w:hAnsi="Calibri" w:cs="Calibri"/>
                      <w:lang w:eastAsia="en-GB"/>
                    </w:rPr>
                  </w:pPr>
                  <w:r>
                    <w:rPr>
                      <w:rFonts w:ascii="Arial" w:eastAsia="Times New Roman" w:hAnsi="Arial" w:cs="Arial"/>
                      <w:color w:val="808080"/>
                      <w:sz w:val="20"/>
                      <w:szCs w:val="20"/>
                      <w:lang w:eastAsia="en-GB"/>
                    </w:rPr>
                    <w:t>This report is saved at </w:t>
                  </w:r>
                  <w:r>
                    <w:rPr>
                      <w:rFonts w:ascii="Arial" w:eastAsia="Times New Roman" w:hAnsi="Arial" w:cs="Arial"/>
                      <w:b/>
                      <w:bCs/>
                      <w:color w:val="203864"/>
                      <w:sz w:val="20"/>
                      <w:szCs w:val="20"/>
                      <w:u w:val="single"/>
                      <w:lang w:eastAsia="en-GB"/>
                    </w:rPr>
                    <w:t>Aluminium News Daily</w:t>
                  </w:r>
                </w:p>
                <w:p w14:paraId="6E03BA8D"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t> </w:t>
                  </w:r>
                </w:p>
              </w:tc>
            </w:tr>
            <w:tr w:rsidR="00D000D5" w14:paraId="00B1B4A2" w14:textId="77777777">
              <w:tc>
                <w:tcPr>
                  <w:tcW w:w="227" w:type="dxa"/>
                  <w:hideMark/>
                </w:tcPr>
                <w:p w14:paraId="6B721354" w14:textId="77777777" w:rsidR="00864660" w:rsidRDefault="00864660">
                  <w:pPr>
                    <w:spacing w:before="0" w:after="0" w:line="231" w:lineRule="atLeast"/>
                    <w:rPr>
                      <w:rFonts w:ascii="Calibri" w:eastAsia="Times New Roman" w:hAnsi="Calibri" w:cs="Calibri"/>
                      <w:lang w:eastAsia="en-GB"/>
                    </w:rPr>
                  </w:pPr>
                  <w:r>
                    <w:rPr>
                      <w:rFonts w:ascii="Calibri" w:eastAsia="Times New Roman" w:hAnsi="Calibri" w:cs="Calibri"/>
                      <w:lang w:eastAsia="en-GB"/>
                    </w:rPr>
                    <w:t> </w:t>
                  </w:r>
                </w:p>
              </w:tc>
              <w:tc>
                <w:tcPr>
                  <w:tcW w:w="8449" w:type="dxa"/>
                  <w:tcBorders>
                    <w:top w:val="nil"/>
                    <w:left w:val="nil"/>
                    <w:bottom w:val="single" w:sz="8" w:space="0" w:color="A6A6A6"/>
                    <w:right w:val="nil"/>
                  </w:tcBorders>
                  <w:tcMar>
                    <w:top w:w="227" w:type="dxa"/>
                    <w:left w:w="0" w:type="dxa"/>
                    <w:bottom w:w="227" w:type="dxa"/>
                    <w:right w:w="57" w:type="dxa"/>
                  </w:tcMar>
                  <w:hideMark/>
                </w:tcPr>
                <w:p w14:paraId="125C799A" w14:textId="21E16335" w:rsidR="00864660" w:rsidRDefault="00864660">
                  <w:pPr>
                    <w:spacing w:before="0" w:after="0" w:line="231" w:lineRule="atLeast"/>
                    <w:rPr>
                      <w:rFonts w:ascii="Calibri" w:eastAsia="Times New Roman" w:hAnsi="Calibri" w:cs="Calibri"/>
                      <w:lang w:eastAsia="en-GB"/>
                    </w:rPr>
                  </w:pPr>
                  <w:r>
                    <w:rPr>
                      <w:rFonts w:ascii="Arial" w:eastAsia="Times New Roman" w:hAnsi="Arial" w:cs="Arial"/>
                      <w:color w:val="808080"/>
                      <w:sz w:val="16"/>
                      <w:szCs w:val="16"/>
                      <w:lang w:eastAsia="en-GB"/>
                    </w:rPr>
                    <w:t xml:space="preserve">LEGAL INFORMATION © 2018 This email is for internal use only and contains information that is strictly confidential and proprietary to the </w:t>
                  </w:r>
                  <w:r w:rsidR="00441D4A">
                    <w:rPr>
                      <w:rFonts w:ascii="Arial" w:eastAsia="Times New Roman" w:hAnsi="Arial" w:cs="Arial"/>
                      <w:color w:val="808080"/>
                      <w:sz w:val="16"/>
                      <w:szCs w:val="16"/>
                      <w:lang w:eastAsia="en-GB"/>
                    </w:rPr>
                    <w:t>XYZ</w:t>
                  </w:r>
                  <w:r>
                    <w:rPr>
                      <w:rFonts w:ascii="Arial" w:eastAsia="Times New Roman" w:hAnsi="Arial" w:cs="Arial"/>
                      <w:color w:val="808080"/>
                      <w:sz w:val="16"/>
                      <w:szCs w:val="16"/>
                      <w:lang w:eastAsia="en-GB"/>
                    </w:rPr>
                    <w:t xml:space="preserve"> Group. The contents of this email are intended only for use within the </w:t>
                  </w:r>
                  <w:r w:rsidR="00441D4A">
                    <w:rPr>
                      <w:rFonts w:ascii="Arial" w:eastAsia="Times New Roman" w:hAnsi="Arial" w:cs="Arial"/>
                      <w:color w:val="808080"/>
                      <w:sz w:val="16"/>
                      <w:szCs w:val="16"/>
                      <w:lang w:eastAsia="en-GB"/>
                    </w:rPr>
                    <w:t xml:space="preserve">XYZ </w:t>
                  </w:r>
                  <w:r>
                    <w:rPr>
                      <w:rFonts w:ascii="Arial" w:eastAsia="Times New Roman" w:hAnsi="Arial" w:cs="Arial"/>
                      <w:color w:val="808080"/>
                      <w:sz w:val="16"/>
                      <w:szCs w:val="16"/>
                      <w:lang w:eastAsia="en-GB"/>
                    </w:rPr>
                    <w:t xml:space="preserve">Group and any unauthorised access, use, copying or distribution by or to persons outside the </w:t>
                  </w:r>
                  <w:r w:rsidR="00441D4A">
                    <w:rPr>
                      <w:rFonts w:ascii="Arial" w:eastAsia="Times New Roman" w:hAnsi="Arial" w:cs="Arial"/>
                      <w:color w:val="808080"/>
                      <w:sz w:val="16"/>
                      <w:szCs w:val="16"/>
                      <w:lang w:eastAsia="en-GB"/>
                    </w:rPr>
                    <w:t xml:space="preserve">XYZ </w:t>
                  </w:r>
                  <w:r>
                    <w:rPr>
                      <w:rFonts w:ascii="Arial" w:eastAsia="Times New Roman" w:hAnsi="Arial" w:cs="Arial"/>
                      <w:color w:val="808080"/>
                      <w:sz w:val="16"/>
                      <w:szCs w:val="16"/>
                      <w:lang w:eastAsia="en-GB"/>
                    </w:rPr>
                    <w:t>Group is strictly prohibited.</w:t>
                  </w:r>
                </w:p>
              </w:tc>
            </w:tr>
          </w:tbl>
          <w:p w14:paraId="3C6B5A5B" w14:textId="77777777" w:rsidR="00864660" w:rsidRDefault="00864660">
            <w:pPr>
              <w:spacing w:before="0" w:after="0"/>
              <w:rPr>
                <w:rFonts w:cs="Times New Roman"/>
                <w:sz w:val="20"/>
                <w:szCs w:val="20"/>
                <w:lang w:val="en-US"/>
              </w:rPr>
            </w:pPr>
          </w:p>
        </w:tc>
      </w:tr>
    </w:tbl>
    <w:p w14:paraId="3ADDC016" w14:textId="77777777" w:rsidR="00CF403E" w:rsidRDefault="00CF403E"/>
    <w:sectPr w:rsidR="00CF40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73615FE"/>
    <w:multiLevelType w:val="hybridMultilevel"/>
    <w:tmpl w:val="03EA8CD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1" w15:restartNumberingAfterBreak="0">
    <w:nsid w:val="5C3B0BF7"/>
    <w:multiLevelType w:val="hybridMultilevel"/>
    <w:tmpl w:val="24C0368E"/>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67BC6650"/>
    <w:multiLevelType w:val="hybridMultilevel"/>
    <w:tmpl w:val="A8A8C0E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4660"/>
    <w:rsid w:val="0003042F"/>
    <w:rsid w:val="00360670"/>
    <w:rsid w:val="00376F3C"/>
    <w:rsid w:val="003A118F"/>
    <w:rsid w:val="00441D4A"/>
    <w:rsid w:val="0051524B"/>
    <w:rsid w:val="00696C11"/>
    <w:rsid w:val="006D336F"/>
    <w:rsid w:val="00864660"/>
    <w:rsid w:val="00B0070A"/>
    <w:rsid w:val="00B27ABE"/>
    <w:rsid w:val="00C51E00"/>
    <w:rsid w:val="00CF403E"/>
    <w:rsid w:val="00D000D5"/>
    <w:rsid w:val="00F602E8"/>
    <w:rsid w:val="00FA30D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0AFA5"/>
  <w15:chartTrackingRefBased/>
  <w15:docId w15:val="{0E59FF45-EC69-4AD8-8E5E-367FC9E35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660"/>
    <w:pPr>
      <w:spacing w:before="120" w:after="120" w:line="240" w:lineRule="auto"/>
    </w:pPr>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864660"/>
    <w:rPr>
      <w:color w:val="0563C1" w:themeColor="hyperlink"/>
      <w:u w:val="single"/>
    </w:rPr>
  </w:style>
  <w:style w:type="paragraph" w:styleId="ListParagraph">
    <w:name w:val="List Paragraph"/>
    <w:basedOn w:val="Normal"/>
    <w:uiPriority w:val="34"/>
    <w:qFormat/>
    <w:rsid w:val="00864660"/>
    <w:pPr>
      <w:spacing w:before="100" w:beforeAutospacing="1" w:after="100" w:afterAutospacing="1"/>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B27AB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781589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xampp\htdocs\avnishsharma\public\$%7blink%7d" TargetMode="External"/><Relationship Id="rId3" Type="http://schemas.openxmlformats.org/officeDocument/2006/relationships/settings" Target="settings.xml"/><Relationship Id="rId7" Type="http://schemas.openxmlformats.org/officeDocument/2006/relationships/hyperlink" Target="https://www.business-standard.com/article/companies/primary-aluminium-exports-jump-21-in-h1-but-producers-hit-by-import-surge-118120300785_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7blink%7d"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business-standard.com/article/companies/primary-aluminium-exports-jump-21-in-h1-but-producers-hit-by-import-surge-118120300785_1.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798</TotalTime>
  <Pages>2</Pages>
  <Words>742</Words>
  <Characters>4231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Furkaan Khan</dc:creator>
  <cp:keywords/>
  <dc:description/>
  <cp:lastModifiedBy>Avnish</cp:lastModifiedBy>
  <cp:revision>9</cp:revision>
  <dcterms:created xsi:type="dcterms:W3CDTF">2020-02-08T19:41:00Z</dcterms:created>
  <dcterms:modified xsi:type="dcterms:W3CDTF">2020-02-09T11:30:00Z</dcterms:modified>
</cp:coreProperties>
</file>