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FBB21" w14:textId="6865D91D" w:rsidR="005F3147" w:rsidRDefault="005F3147" w:rsidP="005F3147">
      <w:pPr>
        <w:jc w:val="center"/>
        <w:rPr>
          <w:rFonts w:asciiTheme="majorHAnsi" w:eastAsiaTheme="majorEastAsia" w:hAnsiTheme="majorHAnsi" w:cs="Times New Roman"/>
          <w:color w:val="0F4761" w:themeColor="accent1" w:themeShade="BF"/>
          <w:sz w:val="28"/>
          <w:szCs w:val="28"/>
        </w:rPr>
      </w:pPr>
      <w:r>
        <w:rPr>
          <w:rFonts w:cs="Times New Roman"/>
          <w:sz w:val="28"/>
          <w:szCs w:val="28"/>
        </w:rPr>
        <w:t>Nguyen Thanh Binh_25062677_AFDM_A1</w:t>
      </w:r>
      <w:r>
        <w:rPr>
          <w:rFonts w:cs="Times New Roman"/>
          <w:sz w:val="28"/>
          <w:szCs w:val="28"/>
        </w:rPr>
        <w:br w:type="page"/>
      </w:r>
    </w:p>
    <w:p w14:paraId="71167B0B" w14:textId="5F916BC1" w:rsidR="00106534" w:rsidRPr="00B96620" w:rsidRDefault="00CD3CA6" w:rsidP="00CD3CA6">
      <w:pPr>
        <w:pStyle w:val="Heading1"/>
        <w:rPr>
          <w:rFonts w:cs="Times New Roman"/>
          <w:sz w:val="28"/>
          <w:szCs w:val="28"/>
        </w:rPr>
      </w:pPr>
      <w:r w:rsidRPr="00B96620">
        <w:rPr>
          <w:rFonts w:cs="Times New Roman"/>
          <w:sz w:val="28"/>
          <w:szCs w:val="28"/>
        </w:rPr>
        <w:lastRenderedPageBreak/>
        <w:t>Financial Analysis Report</w:t>
      </w:r>
    </w:p>
    <w:p w14:paraId="147C9C9B" w14:textId="05E1A6EE" w:rsidR="00CD3CA6" w:rsidRPr="00B96620" w:rsidRDefault="00CD3CA6" w:rsidP="00CD3CA6">
      <w:pPr>
        <w:pStyle w:val="Heading1"/>
        <w:rPr>
          <w:rFonts w:cs="Times New Roman"/>
          <w:sz w:val="28"/>
          <w:szCs w:val="28"/>
        </w:rPr>
      </w:pPr>
      <w:r w:rsidRPr="00B96620">
        <w:rPr>
          <w:rFonts w:cs="Times New Roman"/>
          <w:sz w:val="28"/>
          <w:szCs w:val="28"/>
        </w:rPr>
        <w:t>Student Number:</w:t>
      </w:r>
      <w:r w:rsidR="000C1938" w:rsidRPr="00B96620">
        <w:rPr>
          <w:rFonts w:cs="Times New Roman"/>
          <w:sz w:val="28"/>
          <w:szCs w:val="28"/>
        </w:rPr>
        <w:t xml:space="preserve"> </w:t>
      </w:r>
      <w:r w:rsidR="004F156C" w:rsidRPr="00B96620">
        <w:rPr>
          <w:rFonts w:cs="Times New Roman"/>
          <w:sz w:val="28"/>
          <w:szCs w:val="28"/>
        </w:rPr>
        <w:t>25062677 - 10240511</w:t>
      </w:r>
    </w:p>
    <w:p w14:paraId="0FDEC6E0" w14:textId="4FA2420B" w:rsidR="00CD3CA6" w:rsidRPr="00B96620" w:rsidRDefault="00CD3CA6" w:rsidP="00CD3CA6">
      <w:pPr>
        <w:pStyle w:val="Heading3"/>
        <w:rPr>
          <w:rFonts w:asciiTheme="majorHAnsi" w:hAnsiTheme="majorHAnsi" w:cs="Times New Roman"/>
        </w:rPr>
      </w:pPr>
      <w:r w:rsidRPr="00B96620">
        <w:rPr>
          <w:rFonts w:asciiTheme="majorHAnsi" w:hAnsiTheme="majorHAnsi" w:cs="Times New Roman"/>
        </w:rPr>
        <w:t>1.1 Company Information</w:t>
      </w:r>
    </w:p>
    <w:p w14:paraId="4D7626F8" w14:textId="6F7E90F9" w:rsidR="00F22D66" w:rsidRPr="00B96620" w:rsidRDefault="007C3484" w:rsidP="00B37DEA">
      <w:pPr>
        <w:rPr>
          <w:rFonts w:asciiTheme="majorHAnsi" w:hAnsiTheme="majorHAnsi" w:cs="Times New Roman"/>
          <w:sz w:val="28"/>
          <w:szCs w:val="28"/>
        </w:rPr>
      </w:pPr>
      <w:r w:rsidRPr="00B96620">
        <w:rPr>
          <w:rFonts w:asciiTheme="majorHAnsi" w:hAnsiTheme="majorHAnsi" w:cs="Times New Roman"/>
          <w:sz w:val="28"/>
          <w:szCs w:val="28"/>
        </w:rPr>
        <w:t xml:space="preserve">Founded in 2005 as an extension of the University of Oxford, Oxford Nanopore Technologies PLC (ONT) is a UK-based company operating in the Biotechnology and Life Sciences sector, offering advanced methods ranging from single-molecule to nanopore-based sequencing technology </w:t>
      </w:r>
      <w:r w:rsidR="00370A16" w:rsidRPr="00B96620">
        <w:rPr>
          <w:rFonts w:asciiTheme="majorHAnsi" w:hAnsiTheme="majorHAnsi" w:cs="Times New Roman"/>
          <w:sz w:val="28"/>
          <w:szCs w:val="28"/>
        </w:rPr>
        <w:fldChar w:fldCharType="begin"/>
      </w:r>
      <w:r w:rsidR="00E22F99" w:rsidRPr="00B96620">
        <w:rPr>
          <w:rFonts w:asciiTheme="majorHAnsi" w:hAnsiTheme="majorHAnsi" w:cs="Times New Roman"/>
          <w:sz w:val="28"/>
          <w:szCs w:val="28"/>
        </w:rPr>
        <w:instrText xml:space="preserve"> ADDIN ZOTERO_ITEM CSL_CITATION {"citationID":"WGw0OTZY","properties":{"formattedCitation":"(NanoporeTech, 2026)","plainCitation":"(NanoporeTech, 2026)","noteIndex":0},"citationItems":[{"id":1,"uris":["http://zotero.org/users/local/R5xVNRvV/items/BLT7CB8L"],"itemData":{"id":1,"type":"webpage","abstract":"Oxford Nanopore brings real-time, long-read sequencing for biological analysis to anyone, whether in scientific research, education or real-world applications.","language":"en-GB","title":"About Us","URL":"https://nanoporetech.com/about","author":[{"literal":"NanoporeTech"}],"accessed":{"date-parts":[["2026",2,28]]},"issued":{"date-parts":[["2026"]]}}}],"schema":"https://github.com/citation-style-language/schema/raw/master/csl-citation.json"} </w:instrText>
      </w:r>
      <w:r w:rsidR="00370A16" w:rsidRPr="00B96620">
        <w:rPr>
          <w:rFonts w:asciiTheme="majorHAnsi" w:hAnsiTheme="majorHAnsi" w:cs="Times New Roman"/>
          <w:sz w:val="28"/>
          <w:szCs w:val="28"/>
        </w:rPr>
        <w:fldChar w:fldCharType="separate"/>
      </w:r>
      <w:r w:rsidR="00E22F99" w:rsidRPr="00B96620">
        <w:rPr>
          <w:rFonts w:asciiTheme="majorHAnsi" w:hAnsiTheme="majorHAnsi" w:cs="Times New Roman"/>
          <w:sz w:val="28"/>
        </w:rPr>
        <w:t>(NanoporeTech, 2026)</w:t>
      </w:r>
      <w:r w:rsidR="00370A16" w:rsidRPr="00B96620">
        <w:rPr>
          <w:rFonts w:asciiTheme="majorHAnsi" w:hAnsiTheme="majorHAnsi" w:cs="Times New Roman"/>
          <w:sz w:val="28"/>
          <w:szCs w:val="28"/>
        </w:rPr>
        <w:fldChar w:fldCharType="end"/>
      </w:r>
      <w:r w:rsidR="009B6F4E" w:rsidRPr="00B96620">
        <w:rPr>
          <w:rFonts w:asciiTheme="majorHAnsi" w:hAnsiTheme="majorHAnsi" w:cs="Times New Roman"/>
          <w:sz w:val="28"/>
          <w:szCs w:val="28"/>
        </w:rPr>
        <w:t>.</w:t>
      </w:r>
      <w:r w:rsidR="00370A16" w:rsidRPr="00B96620">
        <w:rPr>
          <w:rFonts w:asciiTheme="majorHAnsi" w:hAnsiTheme="majorHAnsi" w:cs="Times New Roman"/>
          <w:sz w:val="28"/>
          <w:szCs w:val="28"/>
        </w:rPr>
        <w:t xml:space="preserve"> </w:t>
      </w:r>
      <w:r w:rsidR="007B2503" w:rsidRPr="00B96620">
        <w:rPr>
          <w:rFonts w:asciiTheme="majorHAnsi" w:hAnsiTheme="majorHAnsi" w:cs="Times New Roman"/>
          <w:sz w:val="28"/>
          <w:szCs w:val="28"/>
        </w:rPr>
        <w:t xml:space="preserve">The company is famous for the development of DNA/RNA sequencing technology, a technology that offers </w:t>
      </w:r>
      <w:r w:rsidR="00C467D7" w:rsidRPr="00B96620">
        <w:rPr>
          <w:rFonts w:asciiTheme="majorHAnsi" w:hAnsiTheme="majorHAnsi" w:cs="Times New Roman"/>
          <w:sz w:val="28"/>
          <w:szCs w:val="28"/>
        </w:rPr>
        <w:t xml:space="preserve">fast analysis and explains complex biological information </w:t>
      </w:r>
      <w:r w:rsidR="007B2503" w:rsidRPr="00B96620">
        <w:rPr>
          <w:rFonts w:asciiTheme="majorHAnsi" w:hAnsiTheme="majorHAnsi" w:cs="Times New Roman"/>
          <w:sz w:val="28"/>
          <w:szCs w:val="28"/>
        </w:rPr>
        <w:t xml:space="preserve">in </w:t>
      </w:r>
      <w:r w:rsidR="00CB292A" w:rsidRPr="00B96620">
        <w:rPr>
          <w:rFonts w:asciiTheme="majorHAnsi" w:hAnsiTheme="majorHAnsi" w:cs="Times New Roman"/>
          <w:sz w:val="28"/>
          <w:szCs w:val="28"/>
        </w:rPr>
        <w:t xml:space="preserve">the </w:t>
      </w:r>
      <w:r w:rsidR="007B2503" w:rsidRPr="00B96620">
        <w:rPr>
          <w:rFonts w:asciiTheme="majorHAnsi" w:hAnsiTheme="majorHAnsi" w:cs="Times New Roman"/>
          <w:sz w:val="28"/>
          <w:szCs w:val="28"/>
        </w:rPr>
        <w:t xml:space="preserve">present time, and is being used by more than 100 countries worldwide </w:t>
      </w:r>
      <w:r w:rsidR="007B2503" w:rsidRPr="00B96620">
        <w:rPr>
          <w:rFonts w:asciiTheme="majorHAnsi" w:hAnsiTheme="majorHAnsi" w:cs="Times New Roman"/>
          <w:sz w:val="28"/>
          <w:szCs w:val="28"/>
        </w:rPr>
        <w:fldChar w:fldCharType="begin"/>
      </w:r>
      <w:r w:rsidR="00A301E3" w:rsidRPr="00B96620">
        <w:rPr>
          <w:rFonts w:asciiTheme="majorHAnsi" w:hAnsiTheme="majorHAnsi" w:cs="Times New Roman"/>
          <w:sz w:val="28"/>
          <w:szCs w:val="28"/>
        </w:rPr>
        <w:instrText xml:space="preserve"> ADDIN ZOTERO_ITEM CSL_CITATION {"citationID":"CoNP3iE6","properties":{"formattedCitation":"(Oxford Nanopore Technologies, 2025b)","plainCitation":"(Oxford Nanopore Technologies, 2025b)","noteIndex":0},"citationItems":[{"id":6,"uris":["http://zotero.org/users/local/R5xVNRvV/items/LQFEAPUG"],"itemData":{"id":6,"type":"webpage","abstract":"Oxford Nanopore Technologies | 132.146 followers on LinkedIn. Our goal is to enable the analysis of anything, by anyone, anywhere. | Our goal is to enable the analysis of anything, anywhere, by anyone.\n\nWe have developed the world’s first and only nanopore DNA and RNA sequencing platform. It’s a new generation of sequencing technology — the only one to offer: scalability to portable or ultra-high throughput formats, real-time data delivery, and the ability to elucidate rich biological data.","language":"vi","title":"Oxford Nanopore Technologies LinkedIn","URL":"https://www.linkedin.com/company/oxford-nanopore-technologies","author":[{"literal":"Oxford Nanopore Technologies"}],"accessed":{"date-parts":[["2026",2,28]]},"issued":{"date-parts":[["2025",1,13]]}}}],"schema":"https://github.com/citation-style-language/schema/raw/master/csl-citation.json"} </w:instrText>
      </w:r>
      <w:r w:rsidR="007B2503" w:rsidRPr="00B96620">
        <w:rPr>
          <w:rFonts w:asciiTheme="majorHAnsi" w:hAnsiTheme="majorHAnsi" w:cs="Times New Roman"/>
          <w:sz w:val="28"/>
          <w:szCs w:val="28"/>
        </w:rPr>
        <w:fldChar w:fldCharType="separate"/>
      </w:r>
      <w:r w:rsidR="00A301E3" w:rsidRPr="00B96620">
        <w:rPr>
          <w:rFonts w:asciiTheme="majorHAnsi" w:hAnsiTheme="majorHAnsi" w:cs="Times New Roman"/>
          <w:sz w:val="28"/>
        </w:rPr>
        <w:t>(Oxford Nanopore Technologies, 2025b)</w:t>
      </w:r>
      <w:r w:rsidR="007B2503" w:rsidRPr="00B96620">
        <w:rPr>
          <w:rFonts w:asciiTheme="majorHAnsi" w:hAnsiTheme="majorHAnsi" w:cs="Times New Roman"/>
          <w:sz w:val="28"/>
          <w:szCs w:val="28"/>
        </w:rPr>
        <w:fldChar w:fldCharType="end"/>
      </w:r>
      <w:r w:rsidR="005C1759" w:rsidRPr="00B96620">
        <w:rPr>
          <w:rFonts w:asciiTheme="majorHAnsi" w:hAnsiTheme="majorHAnsi" w:cs="Times New Roman"/>
          <w:sz w:val="28"/>
          <w:szCs w:val="28"/>
        </w:rPr>
        <w:t xml:space="preserve">. </w:t>
      </w:r>
      <w:r w:rsidR="00AA1E7B" w:rsidRPr="00B96620">
        <w:rPr>
          <w:rFonts w:asciiTheme="majorHAnsi" w:hAnsiTheme="majorHAnsi" w:cs="Times New Roman"/>
          <w:sz w:val="28"/>
          <w:szCs w:val="28"/>
        </w:rPr>
        <w:t>In 2024,</w:t>
      </w:r>
      <w:r w:rsidR="005C1759" w:rsidRPr="00B96620">
        <w:rPr>
          <w:rFonts w:asciiTheme="majorHAnsi" w:hAnsiTheme="majorHAnsi" w:cs="Times New Roman"/>
          <w:sz w:val="28"/>
          <w:szCs w:val="28"/>
        </w:rPr>
        <w:t xml:space="preserve"> </w:t>
      </w:r>
      <w:r w:rsidR="00AA1E7B" w:rsidRPr="00B96620">
        <w:rPr>
          <w:rFonts w:asciiTheme="majorHAnsi" w:hAnsiTheme="majorHAnsi" w:cs="Times New Roman"/>
          <w:sz w:val="28"/>
          <w:szCs w:val="28"/>
        </w:rPr>
        <w:t>ONT</w:t>
      </w:r>
      <w:r w:rsidR="005C1759" w:rsidRPr="00B96620">
        <w:rPr>
          <w:rFonts w:asciiTheme="majorHAnsi" w:hAnsiTheme="majorHAnsi" w:cs="Times New Roman"/>
          <w:sz w:val="28"/>
          <w:szCs w:val="28"/>
        </w:rPr>
        <w:t xml:space="preserve"> </w:t>
      </w:r>
      <w:r w:rsidR="00F22D66" w:rsidRPr="00B96620">
        <w:rPr>
          <w:rFonts w:asciiTheme="majorHAnsi" w:hAnsiTheme="majorHAnsi" w:cs="Times New Roman"/>
          <w:sz w:val="28"/>
          <w:szCs w:val="28"/>
        </w:rPr>
        <w:t xml:space="preserve">recorded approximately £183 million in revenue, achieving an impressive 23% underlying constant currency growth </w:t>
      </w:r>
      <w:r w:rsidR="00F22D66" w:rsidRPr="00B96620">
        <w:rPr>
          <w:rFonts w:asciiTheme="majorHAnsi" w:hAnsiTheme="majorHAnsi" w:cs="Times New Roman"/>
          <w:sz w:val="28"/>
          <w:szCs w:val="28"/>
        </w:rPr>
        <w:fldChar w:fldCharType="begin"/>
      </w:r>
      <w:r w:rsidR="00F22D66" w:rsidRPr="00B96620">
        <w:rPr>
          <w:rFonts w:asciiTheme="majorHAnsi" w:hAnsiTheme="majorHAnsi" w:cs="Times New Roman"/>
          <w:sz w:val="28"/>
          <w:szCs w:val="28"/>
        </w:rPr>
        <w:instrText xml:space="preserve"> ADDIN ZOTERO_ITEM CSL_CITATION {"citationID":"f4pIDfom","properties":{"formattedCitation":"(IP Group PLC, 2025)","plainCitation":"(IP Group PLC, 2025)","noteIndex":0},"citationItems":[{"id":8,"uris":["http://zotero.org/users/local/R5xVNRvV/items/4ZPTEVAR"],"itemData":{"id":8,"type":"webpage","abstract":"Oxford Nanopore Technologies plc - Full Year Trading Update and Notice of Results","language":"en","title":"Oxford Nanopore Technologies plc - Full Year Trading Update and Notice of Results","URL":"https://www.ipgroupplc.com/news-and-events/portfolio-news/2025/2025-01-13","author":[{"literal":"IP Group PLC"}],"accessed":{"date-parts":[["2026",2,28]]},"issued":{"date-parts":[["2025",1,13]]}}}],"schema":"https://github.com/citation-style-language/schema/raw/master/csl-citation.json"} </w:instrText>
      </w:r>
      <w:r w:rsidR="00F22D66" w:rsidRPr="00B96620">
        <w:rPr>
          <w:rFonts w:asciiTheme="majorHAnsi" w:hAnsiTheme="majorHAnsi" w:cs="Times New Roman"/>
          <w:sz w:val="28"/>
          <w:szCs w:val="28"/>
        </w:rPr>
        <w:fldChar w:fldCharType="separate"/>
      </w:r>
      <w:r w:rsidR="00F22D66" w:rsidRPr="00B96620">
        <w:rPr>
          <w:rFonts w:asciiTheme="majorHAnsi" w:hAnsiTheme="majorHAnsi" w:cs="Times New Roman"/>
          <w:sz w:val="28"/>
        </w:rPr>
        <w:t>(IP Group PLC, 2025)</w:t>
      </w:r>
      <w:r w:rsidR="00F22D66" w:rsidRPr="00B96620">
        <w:rPr>
          <w:rFonts w:asciiTheme="majorHAnsi" w:hAnsiTheme="majorHAnsi" w:cs="Times New Roman"/>
          <w:sz w:val="28"/>
          <w:szCs w:val="28"/>
        </w:rPr>
        <w:fldChar w:fldCharType="end"/>
      </w:r>
      <w:r w:rsidR="00F22D66" w:rsidRPr="00B96620">
        <w:rPr>
          <w:rFonts w:asciiTheme="majorHAnsi" w:hAnsiTheme="majorHAnsi" w:cs="Times New Roman"/>
          <w:sz w:val="28"/>
          <w:szCs w:val="28"/>
        </w:rPr>
        <w:t xml:space="preserve">. With the business expansion beyond academic research into applied markets, which include clinical diagnostics and biomanufacturing, the firm has acquired a £50 million equity investment from Novo Holdings </w:t>
      </w:r>
      <w:r w:rsidR="00F22D66" w:rsidRPr="00B96620">
        <w:rPr>
          <w:rFonts w:asciiTheme="majorHAnsi" w:hAnsiTheme="majorHAnsi" w:cs="Times New Roman"/>
          <w:sz w:val="28"/>
          <w:szCs w:val="28"/>
        </w:rPr>
        <w:fldChar w:fldCharType="begin"/>
      </w:r>
      <w:r w:rsidR="00F22D66" w:rsidRPr="00B96620">
        <w:rPr>
          <w:rFonts w:asciiTheme="majorHAnsi" w:hAnsiTheme="majorHAnsi" w:cs="Times New Roman"/>
          <w:sz w:val="28"/>
          <w:szCs w:val="28"/>
        </w:rPr>
        <w:instrText xml:space="preserve"> ADDIN ZOTERO_ITEM CSL_CITATION {"citationID":"el0r8e5w","properties":{"formattedCitation":"(Novo Holdings, 2024)","plainCitation":"(Novo Holdings, 2024)","noteIndex":0},"citationItems":[{"id":10,"uris":["http://zotero.org/users/local/R5xVNRvV/items/AAEMA2UQ"],"itemData":{"id":10,"type":"webpage","abstract":"/PRNewswire/ -- Novo Holdings, a leading international life science investor, today announced a £50m investment in Oxford Nanopore Technologies ('Oxford...","language":"en","title":"Novo Holdings Invests in UK-Listed Oxford Nanopore Technologies","URL":"https://www.prnewswire.com/news-releases/novo-holdings-invests-in-uk-listed-oxford-nanopore-technologies-302211684.html","author":[{"literal":"Novo Holdings"}],"accessed":{"date-parts":[["2026",2,28]]},"issued":{"date-parts":[["2024",8,1]]}}}],"schema":"https://github.com/citation-style-language/schema/raw/master/csl-citation.json"} </w:instrText>
      </w:r>
      <w:r w:rsidR="00F22D66" w:rsidRPr="00B96620">
        <w:rPr>
          <w:rFonts w:asciiTheme="majorHAnsi" w:hAnsiTheme="majorHAnsi" w:cs="Times New Roman"/>
          <w:sz w:val="28"/>
          <w:szCs w:val="28"/>
        </w:rPr>
        <w:fldChar w:fldCharType="separate"/>
      </w:r>
      <w:r w:rsidR="00F22D66" w:rsidRPr="00B96620">
        <w:rPr>
          <w:rFonts w:asciiTheme="majorHAnsi" w:hAnsiTheme="majorHAnsi" w:cs="Times New Roman"/>
          <w:sz w:val="28"/>
        </w:rPr>
        <w:t>(Novo Holdings, 2024)</w:t>
      </w:r>
      <w:r w:rsidR="00F22D66" w:rsidRPr="00B96620">
        <w:rPr>
          <w:rFonts w:asciiTheme="majorHAnsi" w:hAnsiTheme="majorHAnsi" w:cs="Times New Roman"/>
          <w:sz w:val="28"/>
          <w:szCs w:val="28"/>
        </w:rPr>
        <w:fldChar w:fldCharType="end"/>
      </w:r>
      <w:r w:rsidR="00F22D66" w:rsidRPr="00B96620">
        <w:rPr>
          <w:rFonts w:asciiTheme="majorHAnsi" w:hAnsiTheme="majorHAnsi" w:cs="Times New Roman"/>
          <w:sz w:val="28"/>
          <w:szCs w:val="28"/>
        </w:rPr>
        <w:t>.</w:t>
      </w:r>
    </w:p>
    <w:p w14:paraId="0506734A" w14:textId="787CF20C" w:rsidR="00CD3CA6" w:rsidRPr="00B96620" w:rsidRDefault="00CD3CA6" w:rsidP="00CD3CA6">
      <w:pPr>
        <w:pStyle w:val="Heading3"/>
        <w:rPr>
          <w:rFonts w:asciiTheme="majorHAnsi" w:hAnsiTheme="majorHAnsi" w:cs="Times New Roman"/>
        </w:rPr>
      </w:pPr>
      <w:r w:rsidRPr="00B96620">
        <w:rPr>
          <w:rFonts w:asciiTheme="majorHAnsi" w:hAnsiTheme="majorHAnsi" w:cs="Times New Roman"/>
        </w:rPr>
        <w:t>1.2 Sector Analysis</w:t>
      </w:r>
    </w:p>
    <w:p w14:paraId="0E8DE513" w14:textId="3FAB9DA6" w:rsidR="00EF64C1" w:rsidRPr="00B96620" w:rsidRDefault="000F1E1B" w:rsidP="008B5CE8">
      <w:pPr>
        <w:rPr>
          <w:rFonts w:asciiTheme="majorHAnsi" w:hAnsiTheme="majorHAnsi" w:cs="Times New Roman"/>
          <w:sz w:val="28"/>
          <w:szCs w:val="28"/>
        </w:rPr>
      </w:pPr>
      <w:r w:rsidRPr="00B96620">
        <w:rPr>
          <w:rFonts w:asciiTheme="majorHAnsi" w:hAnsiTheme="majorHAnsi" w:cs="Times New Roman"/>
          <w:sz w:val="28"/>
          <w:szCs w:val="28"/>
        </w:rPr>
        <w:t xml:space="preserve">The </w:t>
      </w:r>
      <w:r w:rsidR="007B350F" w:rsidRPr="00B96620">
        <w:rPr>
          <w:rFonts w:asciiTheme="majorHAnsi" w:hAnsiTheme="majorHAnsi" w:cs="Times New Roman"/>
          <w:sz w:val="28"/>
          <w:szCs w:val="28"/>
        </w:rPr>
        <w:t xml:space="preserve">Biotechnology and Life Sciences </w:t>
      </w:r>
      <w:r w:rsidR="00867A10" w:rsidRPr="00B96620">
        <w:rPr>
          <w:rFonts w:asciiTheme="majorHAnsi" w:hAnsiTheme="majorHAnsi" w:cs="Times New Roman"/>
          <w:sz w:val="28"/>
          <w:szCs w:val="28"/>
        </w:rPr>
        <w:t xml:space="preserve">sector </w:t>
      </w:r>
      <w:proofErr w:type="gramStart"/>
      <w:r w:rsidR="00624D61" w:rsidRPr="00B96620">
        <w:rPr>
          <w:rFonts w:asciiTheme="majorHAnsi" w:hAnsiTheme="majorHAnsi" w:cs="Times New Roman"/>
          <w:sz w:val="28"/>
          <w:szCs w:val="28"/>
        </w:rPr>
        <w:t>plays</w:t>
      </w:r>
      <w:proofErr w:type="gramEnd"/>
      <w:r w:rsidRPr="00B96620">
        <w:rPr>
          <w:rFonts w:asciiTheme="majorHAnsi" w:hAnsiTheme="majorHAnsi" w:cs="Times New Roman"/>
          <w:sz w:val="28"/>
          <w:szCs w:val="28"/>
        </w:rPr>
        <w:t xml:space="preserve"> a crucial economic pillar in the UK</w:t>
      </w:r>
      <w:r w:rsidR="00867A10" w:rsidRPr="00B96620">
        <w:rPr>
          <w:rFonts w:asciiTheme="majorHAnsi" w:hAnsiTheme="majorHAnsi" w:cs="Times New Roman"/>
          <w:sz w:val="28"/>
          <w:szCs w:val="28"/>
        </w:rPr>
        <w:t>. In 2024, the sector generated</w:t>
      </w:r>
      <w:r w:rsidR="007B350F" w:rsidRPr="00B96620">
        <w:rPr>
          <w:rFonts w:asciiTheme="majorHAnsi" w:hAnsiTheme="majorHAnsi" w:cs="Times New Roman"/>
          <w:sz w:val="28"/>
          <w:szCs w:val="28"/>
        </w:rPr>
        <w:t xml:space="preserve"> approximately £146.9 </w:t>
      </w:r>
      <w:r w:rsidR="00FC633F" w:rsidRPr="00B96620">
        <w:rPr>
          <w:rFonts w:asciiTheme="majorHAnsi" w:hAnsiTheme="majorHAnsi" w:cs="Times New Roman"/>
          <w:sz w:val="28"/>
          <w:szCs w:val="28"/>
        </w:rPr>
        <w:t>b</w:t>
      </w:r>
      <w:r w:rsidR="007B350F" w:rsidRPr="00B96620">
        <w:rPr>
          <w:rFonts w:asciiTheme="majorHAnsi" w:hAnsiTheme="majorHAnsi" w:cs="Times New Roman"/>
          <w:sz w:val="28"/>
          <w:szCs w:val="28"/>
        </w:rPr>
        <w:t xml:space="preserve">illion in turnover while employing </w:t>
      </w:r>
      <w:r w:rsidR="00FC633F" w:rsidRPr="00B96620">
        <w:rPr>
          <w:rFonts w:asciiTheme="majorHAnsi" w:hAnsiTheme="majorHAnsi" w:cs="Times New Roman"/>
          <w:sz w:val="28"/>
          <w:szCs w:val="28"/>
        </w:rPr>
        <w:t xml:space="preserve">nearly </w:t>
      </w:r>
      <w:r w:rsidR="007B350F" w:rsidRPr="00B96620">
        <w:rPr>
          <w:rFonts w:asciiTheme="majorHAnsi" w:hAnsiTheme="majorHAnsi" w:cs="Times New Roman"/>
          <w:sz w:val="28"/>
          <w:szCs w:val="28"/>
        </w:rPr>
        <w:t>359,000 professionals across 6,170 businesses</w:t>
      </w:r>
      <w:r w:rsidRPr="00B96620">
        <w:rPr>
          <w:rFonts w:asciiTheme="majorHAnsi" w:hAnsiTheme="majorHAnsi" w:cs="Times New Roman"/>
          <w:sz w:val="28"/>
          <w:szCs w:val="28"/>
        </w:rPr>
        <w:t>.</w:t>
      </w:r>
      <w:r w:rsidR="007B350F" w:rsidRPr="00B96620">
        <w:rPr>
          <w:rFonts w:asciiTheme="majorHAnsi" w:hAnsiTheme="majorHAnsi" w:cs="Times New Roman"/>
          <w:sz w:val="28"/>
          <w:szCs w:val="28"/>
        </w:rPr>
        <w:t xml:space="preserve"> </w:t>
      </w:r>
      <w:r w:rsidR="007B350F" w:rsidRPr="00B96620">
        <w:rPr>
          <w:rFonts w:asciiTheme="majorHAnsi" w:hAnsiTheme="majorHAnsi" w:cs="Times New Roman"/>
          <w:sz w:val="28"/>
          <w:szCs w:val="28"/>
        </w:rPr>
        <w:fldChar w:fldCharType="begin"/>
      </w:r>
      <w:r w:rsidR="007B350F" w:rsidRPr="00B96620">
        <w:rPr>
          <w:rFonts w:asciiTheme="majorHAnsi" w:hAnsiTheme="majorHAnsi" w:cs="Times New Roman"/>
          <w:sz w:val="28"/>
          <w:szCs w:val="28"/>
        </w:rPr>
        <w:instrText xml:space="preserve"> ADDIN ZOTERO_ITEM CSL_CITATION {"citationID":"rQhUK2VI","properties":{"formattedCitation":"(GOV.UK, 2025)","plainCitation":"(GOV.UK, 2025)","noteIndex":0},"citationItems":[{"id":13,"uris":["http://zotero.org/users/local/R5xVNRvV/items/39KIFDJS"],"itemData":{"id":13,"type":"webpage","container-title":"GOV.UK","language":"en","title":"Bioscience and health technology sector statistics 2023 to 2024","URL":"https://www.gov.uk/government/statistics/bioscience-and-health-technology-sector-statistics-2023-to-2024/bioscience-and-health-technology-sector-statistics-2023-to-2024","author":[{"literal":"GOV.UK"}],"accessed":{"date-parts":[["2026",3,1]]},"issued":{"date-parts":[["2025",10,2]]}}}],"schema":"https://github.com/citation-style-language/schema/raw/master/csl-citation.json"} </w:instrText>
      </w:r>
      <w:r w:rsidR="007B350F" w:rsidRPr="00B96620">
        <w:rPr>
          <w:rFonts w:asciiTheme="majorHAnsi" w:hAnsiTheme="majorHAnsi" w:cs="Times New Roman"/>
          <w:sz w:val="28"/>
          <w:szCs w:val="28"/>
        </w:rPr>
        <w:fldChar w:fldCharType="separate"/>
      </w:r>
      <w:r w:rsidR="007B350F" w:rsidRPr="00B96620">
        <w:rPr>
          <w:rFonts w:asciiTheme="majorHAnsi" w:hAnsiTheme="majorHAnsi" w:cs="Times New Roman"/>
          <w:sz w:val="28"/>
        </w:rPr>
        <w:t>(GOV.UK, 2025)</w:t>
      </w:r>
      <w:r w:rsidR="007B350F" w:rsidRPr="00B96620">
        <w:rPr>
          <w:rFonts w:asciiTheme="majorHAnsi" w:hAnsiTheme="majorHAnsi" w:cs="Times New Roman"/>
          <w:sz w:val="28"/>
          <w:szCs w:val="28"/>
        </w:rPr>
        <w:fldChar w:fldCharType="end"/>
      </w:r>
      <w:r w:rsidR="007B350F" w:rsidRPr="00B96620">
        <w:rPr>
          <w:rFonts w:asciiTheme="majorHAnsi" w:hAnsiTheme="majorHAnsi" w:cs="Times New Roman"/>
          <w:sz w:val="28"/>
          <w:szCs w:val="28"/>
        </w:rPr>
        <w:t xml:space="preserve">. </w:t>
      </w:r>
      <w:r w:rsidR="00FC633F" w:rsidRPr="00B96620">
        <w:rPr>
          <w:rFonts w:asciiTheme="majorHAnsi" w:hAnsiTheme="majorHAnsi" w:cs="Times New Roman"/>
          <w:sz w:val="28"/>
          <w:szCs w:val="28"/>
        </w:rPr>
        <w:t>According to</w:t>
      </w:r>
      <w:r w:rsidR="00FC633F" w:rsidRPr="00B96620">
        <w:rPr>
          <w:rFonts w:asciiTheme="majorHAnsi" w:hAnsiTheme="majorHAnsi" w:cs="Times New Roman"/>
          <w:sz w:val="28"/>
        </w:rPr>
        <w:t xml:space="preserve"> Amoroso </w:t>
      </w:r>
      <w:r w:rsidR="00FC633F" w:rsidRPr="00B96620">
        <w:rPr>
          <w:rFonts w:asciiTheme="majorHAnsi" w:hAnsiTheme="majorHAnsi" w:cs="Times New Roman"/>
          <w:sz w:val="28"/>
        </w:rPr>
        <w:fldChar w:fldCharType="begin"/>
      </w:r>
      <w:r w:rsidR="003606AE" w:rsidRPr="00B96620">
        <w:rPr>
          <w:rFonts w:asciiTheme="majorHAnsi" w:hAnsiTheme="majorHAnsi" w:cs="Times New Roman"/>
          <w:sz w:val="28"/>
        </w:rPr>
        <w:instrText xml:space="preserve"> ADDIN ZOTERO_ITEM CSL_CITATION {"citationID":"hHxvTXBv","properties":{"formattedCitation":"(Dr. Giuseppe Amoroso, 2026)","plainCitation":"(Dr. Giuseppe Amoroso, 2026)","dontUpdate":true,"noteIndex":0},"citationItems":[{"id":15,"uris":["http://zotero.org/users/local/R5xVNRvV/items/XK5339A3"],"itemData":{"id":15,"type":"webpage","abstract":"The United Kingdom’s research and development (R&amp;amp;D) investment is experiencing a notable uptick in 2025, following a period of concern over declining","container-title":"FI Group UK","language":"en","title":"UK R&amp;amp;D Spending Surges in 2025, Led by Pharma and Biotech","URL":"https://www.fi-group.uk/uk-rd-spending-surges-in-2025-led-by-pharma-and-biotech/","author":[{"literal":"Amoroso, G"}],"accessed":{"date-parts":[["2026",3,1]]},"issued":{"date-parts":[["2026",1,12]]}}}],"schema":"https://github.com/citation-style-language/schema/raw/master/csl-citation.json"} </w:instrText>
      </w:r>
      <w:r w:rsidR="00FC633F" w:rsidRPr="00B96620">
        <w:rPr>
          <w:rFonts w:asciiTheme="majorHAnsi" w:hAnsiTheme="majorHAnsi" w:cs="Times New Roman"/>
          <w:sz w:val="28"/>
        </w:rPr>
        <w:fldChar w:fldCharType="separate"/>
      </w:r>
      <w:r w:rsidR="00FC633F" w:rsidRPr="00B96620">
        <w:rPr>
          <w:rFonts w:asciiTheme="majorHAnsi" w:hAnsiTheme="majorHAnsi" w:cs="Times New Roman"/>
          <w:sz w:val="28"/>
        </w:rPr>
        <w:t>(2026)</w:t>
      </w:r>
      <w:r w:rsidR="00FC633F" w:rsidRPr="00B96620">
        <w:rPr>
          <w:rFonts w:asciiTheme="majorHAnsi" w:hAnsiTheme="majorHAnsi" w:cs="Times New Roman"/>
          <w:sz w:val="28"/>
        </w:rPr>
        <w:fldChar w:fldCharType="end"/>
      </w:r>
      <w:r w:rsidR="00FC633F" w:rsidRPr="00B96620">
        <w:rPr>
          <w:rFonts w:asciiTheme="majorHAnsi" w:hAnsiTheme="majorHAnsi" w:cs="Times New Roman"/>
          <w:sz w:val="28"/>
        </w:rPr>
        <w:t xml:space="preserve">, </w:t>
      </w:r>
      <w:r w:rsidR="00FC633F" w:rsidRPr="00B96620">
        <w:rPr>
          <w:rFonts w:asciiTheme="majorHAnsi" w:hAnsiTheme="majorHAnsi" w:cs="Times New Roman"/>
          <w:sz w:val="28"/>
          <w:szCs w:val="28"/>
        </w:rPr>
        <w:t>the</w:t>
      </w:r>
      <w:r w:rsidR="00EF64C1" w:rsidRPr="00B96620">
        <w:rPr>
          <w:rFonts w:asciiTheme="majorHAnsi" w:hAnsiTheme="majorHAnsi" w:cs="Times New Roman"/>
          <w:sz w:val="28"/>
          <w:szCs w:val="28"/>
        </w:rPr>
        <w:t xml:space="preserve"> </w:t>
      </w:r>
      <w:r w:rsidR="00867A10" w:rsidRPr="00B96620">
        <w:rPr>
          <w:rFonts w:asciiTheme="majorHAnsi" w:hAnsiTheme="majorHAnsi" w:cs="Times New Roman"/>
          <w:sz w:val="28"/>
          <w:szCs w:val="28"/>
        </w:rPr>
        <w:t xml:space="preserve">main driver of this </w:t>
      </w:r>
      <w:r w:rsidR="00EF64C1" w:rsidRPr="00B96620">
        <w:rPr>
          <w:rFonts w:asciiTheme="majorHAnsi" w:hAnsiTheme="majorHAnsi" w:cs="Times New Roman"/>
          <w:sz w:val="28"/>
          <w:szCs w:val="28"/>
        </w:rPr>
        <w:t>growth is technological megatrends, with pharmaceutical Research and Development (R&amp;D) sustaining its relative strength</w:t>
      </w:r>
      <w:r w:rsidR="00FC633F" w:rsidRPr="00B96620">
        <w:rPr>
          <w:rFonts w:asciiTheme="majorHAnsi" w:hAnsiTheme="majorHAnsi" w:cs="Times New Roman"/>
          <w:sz w:val="28"/>
          <w:szCs w:val="28"/>
        </w:rPr>
        <w:t xml:space="preserve"> and achieving</w:t>
      </w:r>
      <w:r w:rsidR="00EF64C1" w:rsidRPr="00B96620">
        <w:rPr>
          <w:rFonts w:asciiTheme="majorHAnsi" w:hAnsiTheme="majorHAnsi" w:cs="Times New Roman"/>
          <w:sz w:val="28"/>
          <w:szCs w:val="28"/>
        </w:rPr>
        <w:t xml:space="preserve"> £9 billion </w:t>
      </w:r>
      <w:r w:rsidR="00FC633F" w:rsidRPr="00B96620">
        <w:rPr>
          <w:rFonts w:asciiTheme="majorHAnsi" w:hAnsiTheme="majorHAnsi" w:cs="Times New Roman"/>
          <w:sz w:val="28"/>
          <w:szCs w:val="28"/>
        </w:rPr>
        <w:t>at the beginning of 2024</w:t>
      </w:r>
      <w:r w:rsidR="00EF64C1" w:rsidRPr="00B96620">
        <w:rPr>
          <w:rFonts w:asciiTheme="majorHAnsi" w:hAnsiTheme="majorHAnsi" w:cs="Times New Roman"/>
          <w:sz w:val="28"/>
          <w:szCs w:val="28"/>
        </w:rPr>
        <w:t xml:space="preserve">. Despite macroeconomic pressures such as rising interest rates, the sector </w:t>
      </w:r>
      <w:r w:rsidR="002743EC" w:rsidRPr="00B96620">
        <w:rPr>
          <w:rFonts w:asciiTheme="majorHAnsi" w:hAnsiTheme="majorHAnsi" w:cs="Times New Roman"/>
          <w:sz w:val="28"/>
          <w:szCs w:val="28"/>
        </w:rPr>
        <w:t>saw</w:t>
      </w:r>
      <w:r w:rsidR="00EF64C1" w:rsidRPr="00B96620">
        <w:rPr>
          <w:rFonts w:asciiTheme="majorHAnsi" w:hAnsiTheme="majorHAnsi" w:cs="Times New Roman"/>
          <w:sz w:val="28"/>
          <w:szCs w:val="28"/>
        </w:rPr>
        <w:t xml:space="preserve"> </w:t>
      </w:r>
      <w:r w:rsidR="00ED61AE" w:rsidRPr="00B96620">
        <w:rPr>
          <w:rFonts w:asciiTheme="majorHAnsi" w:hAnsiTheme="majorHAnsi" w:cs="Times New Roman"/>
          <w:sz w:val="28"/>
          <w:szCs w:val="28"/>
        </w:rPr>
        <w:t>robust demand</w:t>
      </w:r>
      <w:r w:rsidR="002743EC" w:rsidRPr="00B96620">
        <w:rPr>
          <w:rFonts w:asciiTheme="majorHAnsi" w:hAnsiTheme="majorHAnsi" w:cs="Times New Roman"/>
          <w:sz w:val="28"/>
          <w:szCs w:val="28"/>
        </w:rPr>
        <w:t>. Equity financing secured</w:t>
      </w:r>
      <w:r w:rsidR="00ED61AE" w:rsidRPr="00B96620">
        <w:rPr>
          <w:rFonts w:asciiTheme="majorHAnsi" w:hAnsiTheme="majorHAnsi" w:cs="Times New Roman"/>
          <w:sz w:val="28"/>
          <w:szCs w:val="28"/>
        </w:rPr>
        <w:t xml:space="preserve"> £3.</w:t>
      </w:r>
      <w:r w:rsidR="002743EC" w:rsidRPr="00B96620">
        <w:rPr>
          <w:rFonts w:asciiTheme="majorHAnsi" w:hAnsiTheme="majorHAnsi" w:cs="Times New Roman"/>
          <w:sz w:val="28"/>
          <w:szCs w:val="28"/>
        </w:rPr>
        <w:t>7</w:t>
      </w:r>
      <w:r w:rsidR="00ED61AE" w:rsidRPr="00B96620">
        <w:rPr>
          <w:rFonts w:asciiTheme="majorHAnsi" w:hAnsiTheme="majorHAnsi" w:cs="Times New Roman"/>
          <w:sz w:val="28"/>
          <w:szCs w:val="28"/>
        </w:rPr>
        <w:t xml:space="preserve"> billion, a </w:t>
      </w:r>
      <w:r w:rsidR="002743EC" w:rsidRPr="00B96620">
        <w:rPr>
          <w:rFonts w:asciiTheme="majorHAnsi" w:hAnsiTheme="majorHAnsi" w:cs="Times New Roman"/>
          <w:sz w:val="28"/>
          <w:szCs w:val="28"/>
        </w:rPr>
        <w:t>106</w:t>
      </w:r>
      <w:r w:rsidR="00EF64C1" w:rsidRPr="00B96620">
        <w:rPr>
          <w:rFonts w:asciiTheme="majorHAnsi" w:hAnsiTheme="majorHAnsi" w:cs="Times New Roman"/>
          <w:sz w:val="28"/>
          <w:szCs w:val="28"/>
        </w:rPr>
        <w:t>%</w:t>
      </w:r>
      <w:r w:rsidR="0006589A" w:rsidRPr="00B96620">
        <w:rPr>
          <w:rFonts w:asciiTheme="majorHAnsi" w:hAnsiTheme="majorHAnsi" w:cs="Times New Roman"/>
          <w:sz w:val="28"/>
          <w:szCs w:val="28"/>
        </w:rPr>
        <w:t xml:space="preserve"> </w:t>
      </w:r>
      <w:r w:rsidR="00EF64C1" w:rsidRPr="00B96620">
        <w:rPr>
          <w:rFonts w:asciiTheme="majorHAnsi" w:hAnsiTheme="majorHAnsi" w:cs="Times New Roman"/>
          <w:sz w:val="28"/>
          <w:szCs w:val="28"/>
        </w:rPr>
        <w:t>increase</w:t>
      </w:r>
      <w:r w:rsidR="0006589A" w:rsidRPr="00B96620">
        <w:rPr>
          <w:rFonts w:asciiTheme="majorHAnsi" w:hAnsiTheme="majorHAnsi" w:cs="Times New Roman"/>
          <w:sz w:val="28"/>
          <w:szCs w:val="28"/>
        </w:rPr>
        <w:t xml:space="preserve"> from the previous year</w:t>
      </w:r>
      <w:r w:rsidR="00EF64C1" w:rsidRPr="00B96620">
        <w:rPr>
          <w:rFonts w:asciiTheme="majorHAnsi" w:hAnsiTheme="majorHAnsi" w:cs="Times New Roman"/>
          <w:sz w:val="28"/>
          <w:szCs w:val="28"/>
        </w:rPr>
        <w:t xml:space="preserve">, </w:t>
      </w:r>
      <w:r w:rsidR="0006589A" w:rsidRPr="00B96620">
        <w:rPr>
          <w:rFonts w:asciiTheme="majorHAnsi" w:hAnsiTheme="majorHAnsi" w:cs="Times New Roman"/>
          <w:sz w:val="28"/>
          <w:szCs w:val="28"/>
        </w:rPr>
        <w:t xml:space="preserve">together with £2.25 billion in venture capital (VC), making 2024 the strongest year for VC funding and displaying the flexibility of the sector </w:t>
      </w:r>
      <w:r w:rsidR="0006589A" w:rsidRPr="00B96620">
        <w:rPr>
          <w:rFonts w:asciiTheme="majorHAnsi" w:hAnsiTheme="majorHAnsi" w:cs="Times New Roman"/>
          <w:sz w:val="28"/>
          <w:szCs w:val="28"/>
        </w:rPr>
        <w:fldChar w:fldCharType="begin"/>
      </w:r>
      <w:r w:rsidR="003606AE" w:rsidRPr="00B96620">
        <w:rPr>
          <w:rFonts w:asciiTheme="majorHAnsi" w:hAnsiTheme="majorHAnsi" w:cs="Times New Roman"/>
          <w:sz w:val="28"/>
          <w:szCs w:val="28"/>
        </w:rPr>
        <w:instrText xml:space="preserve"> ADDIN ZOTERO_ITEM CSL_CITATION {"citationID":"DH9SKKrX","properties":{"formattedCitation":"(Steve Bates OBE, 2025)","plainCitation":"(Steve Bates OBE, 2025)","dontUpdate":true,"noteIndex":0},"citationItems":[{"id":17,"uris":["http://zotero.org/users/local/R5xVNRvV/items/WJ4MFXFF"],"itemData":{"id":17,"type":"post-weblog","language":"en-GB","title":"Finance Report 2024 – Biotech Finance","URL":"https://biotechfinance.org/finance-report-2024/","author":[{"literal":"Bates, S"}],"accessed":{"date-parts":[["2026",3,1]]},"issued":{"date-parts":[["2025",1,27]]}}}],"schema":"https://github.com/citation-style-language/schema/raw/master/csl-citation.json"} </w:instrText>
      </w:r>
      <w:r w:rsidR="0006589A" w:rsidRPr="00B96620">
        <w:rPr>
          <w:rFonts w:asciiTheme="majorHAnsi" w:hAnsiTheme="majorHAnsi" w:cs="Times New Roman"/>
          <w:sz w:val="28"/>
          <w:szCs w:val="28"/>
        </w:rPr>
        <w:fldChar w:fldCharType="separate"/>
      </w:r>
      <w:r w:rsidR="0006589A" w:rsidRPr="00B96620">
        <w:rPr>
          <w:rFonts w:asciiTheme="majorHAnsi" w:hAnsiTheme="majorHAnsi" w:cs="Times New Roman"/>
          <w:sz w:val="28"/>
        </w:rPr>
        <w:t>(Bates, 2025)</w:t>
      </w:r>
      <w:r w:rsidR="0006589A" w:rsidRPr="00B96620">
        <w:rPr>
          <w:rFonts w:asciiTheme="majorHAnsi" w:hAnsiTheme="majorHAnsi" w:cs="Times New Roman"/>
          <w:sz w:val="28"/>
          <w:szCs w:val="28"/>
        </w:rPr>
        <w:fldChar w:fldCharType="end"/>
      </w:r>
      <w:r w:rsidR="0006589A" w:rsidRPr="00B96620">
        <w:rPr>
          <w:rFonts w:asciiTheme="majorHAnsi" w:hAnsiTheme="majorHAnsi" w:cs="Times New Roman"/>
          <w:sz w:val="28"/>
          <w:szCs w:val="28"/>
        </w:rPr>
        <w:t xml:space="preserve">. </w:t>
      </w:r>
      <w:r w:rsidR="00FC633F" w:rsidRPr="00B96620">
        <w:rPr>
          <w:rFonts w:asciiTheme="majorHAnsi" w:hAnsiTheme="majorHAnsi" w:cs="Times New Roman"/>
          <w:sz w:val="28"/>
          <w:szCs w:val="28"/>
        </w:rPr>
        <w:t xml:space="preserve">Overall, </w:t>
      </w:r>
      <w:r w:rsidR="004B0770" w:rsidRPr="00B96620">
        <w:rPr>
          <w:rFonts w:asciiTheme="majorHAnsi" w:hAnsiTheme="majorHAnsi" w:cs="Times New Roman"/>
          <w:sz w:val="28"/>
          <w:szCs w:val="28"/>
        </w:rPr>
        <w:t>having this much funding and the flexibility keeps the industry safe and protected even when the macroeconomy is struggling, making the sector a great place for long-term investment.</w:t>
      </w:r>
    </w:p>
    <w:p w14:paraId="2F7ED7D2" w14:textId="77777777" w:rsidR="00CD3CA6" w:rsidRPr="00B96620" w:rsidRDefault="00CD3CA6" w:rsidP="00CD3CA6">
      <w:pPr>
        <w:rPr>
          <w:rFonts w:asciiTheme="majorHAnsi" w:hAnsiTheme="majorHAnsi" w:cs="Times New Roman"/>
          <w:i/>
          <w:iCs/>
          <w:color w:val="0070C0"/>
          <w:sz w:val="28"/>
          <w:szCs w:val="28"/>
        </w:rPr>
      </w:pPr>
    </w:p>
    <w:p w14:paraId="5EE5B007" w14:textId="77777777" w:rsidR="004B0770" w:rsidRPr="00B96620" w:rsidRDefault="004B0770" w:rsidP="00CD3CA6">
      <w:pPr>
        <w:rPr>
          <w:rFonts w:asciiTheme="majorHAnsi" w:hAnsiTheme="majorHAnsi" w:cs="Times New Roman"/>
          <w:i/>
          <w:iCs/>
          <w:color w:val="0070C0"/>
          <w:sz w:val="28"/>
          <w:szCs w:val="28"/>
        </w:rPr>
      </w:pPr>
    </w:p>
    <w:p w14:paraId="690B4BCD" w14:textId="77777777" w:rsidR="004B0770" w:rsidRPr="00B96620" w:rsidRDefault="004B0770" w:rsidP="00CD3CA6">
      <w:pPr>
        <w:rPr>
          <w:rFonts w:asciiTheme="majorHAnsi" w:hAnsiTheme="majorHAnsi" w:cs="Times New Roman"/>
          <w:sz w:val="28"/>
          <w:szCs w:val="28"/>
        </w:rPr>
      </w:pPr>
    </w:p>
    <w:p w14:paraId="5CBA7F8C" w14:textId="1C6E98D9" w:rsidR="00CD3CA6" w:rsidRPr="00B96620" w:rsidRDefault="00CD3CA6" w:rsidP="00CD3CA6">
      <w:pPr>
        <w:pStyle w:val="Heading2"/>
        <w:rPr>
          <w:rFonts w:cs="Times New Roman"/>
          <w:sz w:val="28"/>
          <w:szCs w:val="28"/>
        </w:rPr>
      </w:pPr>
      <w:r w:rsidRPr="00B96620">
        <w:rPr>
          <w:rFonts w:cs="Times New Roman"/>
          <w:sz w:val="28"/>
          <w:szCs w:val="28"/>
        </w:rPr>
        <w:lastRenderedPageBreak/>
        <w:t>2 Financial Report</w:t>
      </w:r>
    </w:p>
    <w:p w14:paraId="12F74BF5" w14:textId="5EA1175C" w:rsidR="00CD3CA6" w:rsidRPr="00B96620" w:rsidRDefault="00CD3CA6" w:rsidP="00CD3CA6">
      <w:pPr>
        <w:pStyle w:val="Heading3"/>
        <w:rPr>
          <w:rFonts w:asciiTheme="majorHAnsi" w:hAnsiTheme="majorHAnsi" w:cs="Times New Roman"/>
        </w:rPr>
      </w:pPr>
      <w:r w:rsidRPr="00B96620">
        <w:rPr>
          <w:rFonts w:asciiTheme="majorHAnsi" w:hAnsiTheme="majorHAnsi" w:cs="Times New Roman"/>
        </w:rPr>
        <w:t>2.1 Core financial ratios</w:t>
      </w:r>
    </w:p>
    <w:p w14:paraId="4C76D767" w14:textId="791D83AC" w:rsidR="00624D61" w:rsidRPr="00B96620" w:rsidRDefault="001F2C5F" w:rsidP="00624D61">
      <w:pPr>
        <w:rPr>
          <w:rFonts w:asciiTheme="majorHAnsi" w:hAnsiTheme="majorHAnsi" w:cs="Times New Roman"/>
          <w:sz w:val="28"/>
          <w:szCs w:val="28"/>
        </w:rPr>
      </w:pPr>
      <w:r w:rsidRPr="00B96620">
        <w:rPr>
          <w:rFonts w:asciiTheme="majorHAnsi" w:hAnsiTheme="majorHAnsi" w:cs="Times New Roman"/>
          <w:sz w:val="28"/>
          <w:szCs w:val="28"/>
        </w:rPr>
        <w:t xml:space="preserve">The financial structure and </w:t>
      </w:r>
      <w:r w:rsidR="00457F5B" w:rsidRPr="00B96620">
        <w:rPr>
          <w:rFonts w:asciiTheme="majorHAnsi" w:hAnsiTheme="majorHAnsi" w:cs="Times New Roman"/>
          <w:sz w:val="28"/>
          <w:szCs w:val="28"/>
        </w:rPr>
        <w:t xml:space="preserve">performance </w:t>
      </w:r>
      <w:r w:rsidRPr="00B96620">
        <w:rPr>
          <w:rFonts w:asciiTheme="majorHAnsi" w:hAnsiTheme="majorHAnsi" w:cs="Times New Roman"/>
          <w:sz w:val="28"/>
          <w:szCs w:val="28"/>
        </w:rPr>
        <w:t>of ONT can be evaluated over the period from 2022 to 2024.</w:t>
      </w:r>
    </w:p>
    <w:p w14:paraId="33A2F6D8" w14:textId="77777777" w:rsidR="00905DA1" w:rsidRPr="00B96620" w:rsidRDefault="00905DA1" w:rsidP="00624D61">
      <w:pPr>
        <w:rPr>
          <w:rFonts w:asciiTheme="majorHAnsi" w:hAnsiTheme="majorHAnsi" w:cs="Times New Roman"/>
          <w:sz w:val="28"/>
          <w:szCs w:val="28"/>
        </w:rPr>
      </w:pPr>
    </w:p>
    <w:p w14:paraId="19C7984A" w14:textId="1FF2DEAD" w:rsidR="001F2C5F" w:rsidRPr="00B96620" w:rsidRDefault="00905DA1" w:rsidP="00624D61">
      <w:pPr>
        <w:rPr>
          <w:rFonts w:asciiTheme="majorHAnsi" w:hAnsiTheme="majorHAnsi" w:cs="Times New Roman"/>
          <w:sz w:val="28"/>
          <w:szCs w:val="28"/>
        </w:rPr>
      </w:pPr>
      <w:r w:rsidRPr="00B96620">
        <w:rPr>
          <w:rFonts w:asciiTheme="majorHAnsi" w:hAnsiTheme="majorHAnsi" w:cs="Times New Roman"/>
          <w:noProof/>
          <w:sz w:val="28"/>
          <w:szCs w:val="28"/>
        </w:rPr>
        <w:drawing>
          <wp:inline distT="0" distB="0" distL="0" distR="0" wp14:anchorId="435562B9" wp14:editId="61C22862">
            <wp:extent cx="5731510" cy="1453515"/>
            <wp:effectExtent l="0" t="0" r="2540" b="0"/>
            <wp:docPr id="1103885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85890" name=""/>
                    <pic:cNvPicPr/>
                  </pic:nvPicPr>
                  <pic:blipFill>
                    <a:blip r:embed="rId9"/>
                    <a:stretch>
                      <a:fillRect/>
                    </a:stretch>
                  </pic:blipFill>
                  <pic:spPr>
                    <a:xfrm>
                      <a:off x="0" y="0"/>
                      <a:ext cx="5731510" cy="1453515"/>
                    </a:xfrm>
                    <a:prstGeom prst="rect">
                      <a:avLst/>
                    </a:prstGeom>
                  </pic:spPr>
                </pic:pic>
              </a:graphicData>
            </a:graphic>
          </wp:inline>
        </w:drawing>
      </w:r>
    </w:p>
    <w:p w14:paraId="13E8D793" w14:textId="386D19FE" w:rsidR="00905DA1" w:rsidRPr="00B96620" w:rsidRDefault="00905DA1" w:rsidP="00905DA1">
      <w:pPr>
        <w:jc w:val="center"/>
        <w:rPr>
          <w:rFonts w:asciiTheme="majorHAnsi" w:hAnsiTheme="majorHAnsi" w:cs="Times New Roman"/>
          <w:i/>
          <w:iCs/>
        </w:rPr>
      </w:pPr>
      <w:r w:rsidRPr="00B96620">
        <w:rPr>
          <w:rFonts w:asciiTheme="majorHAnsi" w:hAnsiTheme="majorHAnsi" w:cs="Times New Roman"/>
          <w:i/>
          <w:iCs/>
        </w:rPr>
        <w:t>Table 1: Key ratios of Oxford Nanopore Technologies</w:t>
      </w:r>
    </w:p>
    <w:p w14:paraId="0F72F709" w14:textId="400AD3A5" w:rsidR="00624D61" w:rsidRPr="00B96620" w:rsidRDefault="00E46443" w:rsidP="00624D61">
      <w:pPr>
        <w:rPr>
          <w:rFonts w:asciiTheme="majorHAnsi" w:hAnsiTheme="majorHAnsi" w:cs="Times New Roman"/>
          <w:sz w:val="28"/>
          <w:szCs w:val="28"/>
        </w:rPr>
      </w:pPr>
      <w:r w:rsidRPr="00B96620">
        <w:rPr>
          <w:rFonts w:asciiTheme="majorHAnsi" w:hAnsiTheme="majorHAnsi" w:cs="Times New Roman"/>
          <w:sz w:val="28"/>
          <w:szCs w:val="28"/>
        </w:rPr>
        <w:t xml:space="preserve">ONT is currently in a “spend money to grow” phase, which is a normal and typical scheme for new biotech companies. The firm’s Operating Profit Margin (OPM) </w:t>
      </w:r>
      <w:r w:rsidR="001B7F98" w:rsidRPr="00B96620">
        <w:rPr>
          <w:rFonts w:asciiTheme="majorHAnsi" w:hAnsiTheme="majorHAnsi" w:cs="Times New Roman"/>
          <w:sz w:val="28"/>
          <w:szCs w:val="28"/>
        </w:rPr>
        <w:t>declined significantly from -49.59% in 2022 to -99.38% in 2023</w:t>
      </w:r>
      <w:r w:rsidR="008E644B" w:rsidRPr="00B96620">
        <w:rPr>
          <w:rFonts w:asciiTheme="majorHAnsi" w:hAnsiTheme="majorHAnsi" w:cs="Times New Roman"/>
          <w:sz w:val="28"/>
          <w:szCs w:val="28"/>
        </w:rPr>
        <w:t>, then recovered to -83.16% by</w:t>
      </w:r>
      <w:r w:rsidR="00AA448B" w:rsidRPr="00B96620">
        <w:rPr>
          <w:rFonts w:asciiTheme="majorHAnsi" w:hAnsiTheme="majorHAnsi" w:cs="Times New Roman"/>
          <w:sz w:val="28"/>
          <w:szCs w:val="28"/>
        </w:rPr>
        <w:t xml:space="preserve"> the end of the period.</w:t>
      </w:r>
      <w:r w:rsidR="008E644B" w:rsidRPr="00B96620">
        <w:rPr>
          <w:rFonts w:asciiTheme="majorHAnsi" w:hAnsiTheme="majorHAnsi" w:cs="Times New Roman"/>
          <w:sz w:val="28"/>
          <w:szCs w:val="28"/>
        </w:rPr>
        <w:t xml:space="preserve"> </w:t>
      </w:r>
      <w:r w:rsidR="00BC11C3" w:rsidRPr="00B96620">
        <w:rPr>
          <w:rFonts w:asciiTheme="majorHAnsi" w:hAnsiTheme="majorHAnsi" w:cs="Times New Roman"/>
          <w:sz w:val="28"/>
          <w:szCs w:val="28"/>
        </w:rPr>
        <w:t>These losses are not a mistake; however, they are part o</w:t>
      </w:r>
      <w:r w:rsidR="000E595B" w:rsidRPr="00B96620">
        <w:rPr>
          <w:rFonts w:asciiTheme="majorHAnsi" w:hAnsiTheme="majorHAnsi" w:cs="Times New Roman"/>
          <w:sz w:val="28"/>
          <w:szCs w:val="28"/>
        </w:rPr>
        <w:t>f a</w:t>
      </w:r>
      <w:r w:rsidR="00F131A0" w:rsidRPr="00B96620">
        <w:rPr>
          <w:rFonts w:asciiTheme="majorHAnsi" w:hAnsiTheme="majorHAnsi" w:cs="Times New Roman"/>
          <w:sz w:val="28"/>
          <w:szCs w:val="28"/>
        </w:rPr>
        <w:t xml:space="preserve"> planned business strategy</w:t>
      </w:r>
      <w:r w:rsidR="00BC11C3" w:rsidRPr="00B96620">
        <w:rPr>
          <w:rFonts w:asciiTheme="majorHAnsi" w:hAnsiTheme="majorHAnsi" w:cs="Times New Roman"/>
          <w:sz w:val="28"/>
          <w:szCs w:val="28"/>
        </w:rPr>
        <w:t xml:space="preserve">. </w:t>
      </w:r>
      <w:r w:rsidR="00F131A0" w:rsidRPr="00B96620">
        <w:rPr>
          <w:rFonts w:asciiTheme="majorHAnsi" w:hAnsiTheme="majorHAnsi" w:cs="Times New Roman"/>
          <w:sz w:val="28"/>
          <w:szCs w:val="28"/>
        </w:rPr>
        <w:t xml:space="preserve">The reason for this is their heavy spending on business facilities, the launch of their PromethION </w:t>
      </w:r>
      <w:r w:rsidR="004F7140" w:rsidRPr="00B96620">
        <w:rPr>
          <w:rFonts w:asciiTheme="majorHAnsi" w:hAnsiTheme="majorHAnsi" w:cs="Times New Roman"/>
          <w:sz w:val="28"/>
          <w:szCs w:val="28"/>
        </w:rPr>
        <w:t>2</w:t>
      </w:r>
      <w:r w:rsidR="00F131A0" w:rsidRPr="00B96620">
        <w:rPr>
          <w:rFonts w:asciiTheme="majorHAnsi" w:hAnsiTheme="majorHAnsi" w:cs="Times New Roman"/>
          <w:sz w:val="28"/>
          <w:szCs w:val="28"/>
        </w:rPr>
        <w:t xml:space="preserve"> system, and a planned move away from highly profitable COVID-19 testing revenues </w:t>
      </w:r>
      <w:r w:rsidR="00F131A0" w:rsidRPr="00B96620">
        <w:rPr>
          <w:rFonts w:asciiTheme="majorHAnsi" w:hAnsiTheme="majorHAnsi" w:cs="Times New Roman"/>
          <w:sz w:val="28"/>
          <w:szCs w:val="28"/>
        </w:rPr>
        <w:fldChar w:fldCharType="begin"/>
      </w:r>
      <w:r w:rsidR="003606AE" w:rsidRPr="00B96620">
        <w:rPr>
          <w:rFonts w:asciiTheme="majorHAnsi" w:hAnsiTheme="majorHAnsi" w:cs="Times New Roman"/>
          <w:sz w:val="28"/>
          <w:szCs w:val="28"/>
        </w:rPr>
        <w:instrText xml:space="preserve"> ADDIN ZOTERO_ITEM CSL_CITATION {"citationID":"KoSoR7cr","properties":{"formattedCitation":"(Sanghera, G, 2024)","plainCitation":"(Sanghera, G, 2024)","dontUpdate":true,"noteIndex":0},"citationItems":[{"id":19,"uris":["http://zotero.org/users/local/R5xVNRvV/items/C5GJIK9H"],"itemData":{"id":19,"type":"webpage","abstract":"Oxford Nanopore Technologies plc (LSE: ONT) (\"Oxford Nanopore\" or the \"Group\"),&amp;nbsp;the company behind a new generation of molecular sensing technology based on nanopores, today announces its preliminary results for the year ended 31 December 2023.    Gordon Sanghera, Chief Executive Officer, comme","container-title":"Oxford Nanopore Technologies","language":"en-GB","note":"section: Company news","title":"Preliminary results for the year ended 31 December 2023","URL":"https://nanoporetech.com/news/news-preliminary-results-year-ended-31-december-2023","author":[{"literal":"Sanghera, G"}],"accessed":{"date-parts":[["2026",3,3]]},"issued":{"date-parts":[["2024",3,6]]}}}],"schema":"https://github.com/citation-style-language/schema/raw/master/csl-citation.json"} </w:instrText>
      </w:r>
      <w:r w:rsidR="00F131A0" w:rsidRPr="00B96620">
        <w:rPr>
          <w:rFonts w:asciiTheme="majorHAnsi" w:hAnsiTheme="majorHAnsi" w:cs="Times New Roman"/>
          <w:sz w:val="28"/>
          <w:szCs w:val="28"/>
        </w:rPr>
        <w:fldChar w:fldCharType="separate"/>
      </w:r>
      <w:r w:rsidR="00F131A0" w:rsidRPr="00B96620">
        <w:rPr>
          <w:rFonts w:asciiTheme="majorHAnsi" w:hAnsiTheme="majorHAnsi" w:cs="Times New Roman"/>
          <w:sz w:val="28"/>
        </w:rPr>
        <w:t>(Sanghera, 2024)</w:t>
      </w:r>
      <w:r w:rsidR="00F131A0" w:rsidRPr="00B96620">
        <w:rPr>
          <w:rFonts w:asciiTheme="majorHAnsi" w:hAnsiTheme="majorHAnsi" w:cs="Times New Roman"/>
          <w:sz w:val="28"/>
          <w:szCs w:val="28"/>
        </w:rPr>
        <w:fldChar w:fldCharType="end"/>
      </w:r>
      <w:r w:rsidR="00F131A0" w:rsidRPr="00B96620">
        <w:rPr>
          <w:rFonts w:asciiTheme="majorHAnsi" w:hAnsiTheme="majorHAnsi" w:cs="Times New Roman"/>
          <w:sz w:val="28"/>
          <w:szCs w:val="28"/>
        </w:rPr>
        <w:t xml:space="preserve">. Because of this, the Return on Shareholder Funds (ROSF) stayed very negative, dropping from -12.03% in 2022 to -23.87% in 2024. </w:t>
      </w:r>
    </w:p>
    <w:p w14:paraId="295F8772" w14:textId="28408963" w:rsidR="00D1777D" w:rsidRPr="00B96620" w:rsidRDefault="00D1777D" w:rsidP="00624D61">
      <w:pPr>
        <w:rPr>
          <w:rFonts w:asciiTheme="majorHAnsi" w:hAnsiTheme="majorHAnsi" w:cs="Times New Roman"/>
          <w:sz w:val="28"/>
          <w:szCs w:val="28"/>
        </w:rPr>
      </w:pPr>
      <w:r w:rsidRPr="00B96620">
        <w:rPr>
          <w:rFonts w:asciiTheme="majorHAnsi" w:hAnsiTheme="majorHAnsi" w:cs="Times New Roman"/>
          <w:sz w:val="28"/>
          <w:szCs w:val="28"/>
        </w:rPr>
        <w:t xml:space="preserve">The Gearing Ratio stayed very low during this period, at 3.85% in 2022, 6.40% in 2023, and 7.01% in 2024. This shows that the company </w:t>
      </w:r>
      <w:r w:rsidR="00D21054" w:rsidRPr="00B96620">
        <w:rPr>
          <w:rFonts w:asciiTheme="majorHAnsi" w:hAnsiTheme="majorHAnsi" w:cs="Times New Roman"/>
          <w:sz w:val="28"/>
          <w:szCs w:val="28"/>
        </w:rPr>
        <w:t xml:space="preserve">relies almost entirely on </w:t>
      </w:r>
      <w:r w:rsidRPr="00B96620">
        <w:rPr>
          <w:rFonts w:asciiTheme="majorHAnsi" w:hAnsiTheme="majorHAnsi" w:cs="Times New Roman"/>
          <w:sz w:val="28"/>
          <w:szCs w:val="28"/>
        </w:rPr>
        <w:t xml:space="preserve">its own equity </w:t>
      </w:r>
      <w:r w:rsidR="00D21054" w:rsidRPr="00B96620">
        <w:rPr>
          <w:rFonts w:asciiTheme="majorHAnsi" w:hAnsiTheme="majorHAnsi" w:cs="Times New Roman"/>
          <w:sz w:val="28"/>
          <w:szCs w:val="28"/>
        </w:rPr>
        <w:t>rather than debt</w:t>
      </w:r>
      <w:r w:rsidRPr="00B96620">
        <w:rPr>
          <w:rFonts w:asciiTheme="majorHAnsi" w:hAnsiTheme="majorHAnsi" w:cs="Times New Roman"/>
          <w:sz w:val="28"/>
          <w:szCs w:val="28"/>
        </w:rPr>
        <w:t xml:space="preserve">, which gives it a lot of available cash. ONT </w:t>
      </w:r>
      <w:r w:rsidR="00D21054" w:rsidRPr="00B96620">
        <w:rPr>
          <w:rFonts w:asciiTheme="majorHAnsi" w:hAnsiTheme="majorHAnsi" w:cs="Times New Roman"/>
          <w:sz w:val="28"/>
          <w:szCs w:val="28"/>
        </w:rPr>
        <w:t xml:space="preserve">concluded 2024 with a net cash position of approximately £302 million, ensuring sufficient short-term liquidity to sustain its research and development without the </w:t>
      </w:r>
      <w:r w:rsidR="00BB5D25" w:rsidRPr="00B96620">
        <w:rPr>
          <w:rFonts w:asciiTheme="majorHAnsi" w:hAnsiTheme="majorHAnsi" w:cs="Times New Roman"/>
          <w:sz w:val="28"/>
          <w:szCs w:val="28"/>
        </w:rPr>
        <w:t xml:space="preserve">stress of paying high interest on loans </w:t>
      </w:r>
      <w:r w:rsidR="00BB5D25" w:rsidRPr="00B96620">
        <w:rPr>
          <w:rFonts w:asciiTheme="majorHAnsi" w:hAnsiTheme="majorHAnsi" w:cs="Times New Roman"/>
          <w:sz w:val="28"/>
          <w:szCs w:val="28"/>
        </w:rPr>
        <w:fldChar w:fldCharType="begin"/>
      </w:r>
      <w:r w:rsidR="00BB5D25" w:rsidRPr="00B96620">
        <w:rPr>
          <w:rFonts w:asciiTheme="majorHAnsi" w:hAnsiTheme="majorHAnsi" w:cs="Times New Roman"/>
          <w:sz w:val="28"/>
          <w:szCs w:val="28"/>
        </w:rPr>
        <w:instrText xml:space="preserve"> ADDIN ZOTERO_ITEM CSL_CITATION {"citationID":"XJd43y1i","properties":{"formattedCitation":"(Alliance News, 2026)","plainCitation":"(Alliance News, 2026)","noteIndex":0},"citationItems":[{"id":20,"uris":["http://zotero.org/users/local/R5xVNRvV/items/PMQZ9XYD"],"itemData":{"id":20,"type":"webpage","container-title":"Morningstar, Inc.","language":"en-GB","note":"section: ALLIANCE","title":"Oxford Nanopore says full year revenue will be slightly ahead of hopes","URL":"https://global.morningstar.com/en-gb/news/alliance-news/1768210179609811900/oxford-nanopore-says-full-year-revenue-will-be-slightly-ahead-of-hopes","author":[{"literal":"Alliance News"}],"accessed":{"date-parts":[["2026",3,4]]},"issued":{"date-parts":[["2026",1,12]]}}}],"schema":"https://github.com/citation-style-language/schema/raw/master/csl-citation.json"} </w:instrText>
      </w:r>
      <w:r w:rsidR="00BB5D25" w:rsidRPr="00B96620">
        <w:rPr>
          <w:rFonts w:asciiTheme="majorHAnsi" w:hAnsiTheme="majorHAnsi" w:cs="Times New Roman"/>
          <w:sz w:val="28"/>
          <w:szCs w:val="28"/>
        </w:rPr>
        <w:fldChar w:fldCharType="separate"/>
      </w:r>
      <w:r w:rsidR="00BB5D25" w:rsidRPr="00B96620">
        <w:rPr>
          <w:rFonts w:asciiTheme="majorHAnsi" w:hAnsiTheme="majorHAnsi" w:cs="Times New Roman"/>
          <w:sz w:val="28"/>
        </w:rPr>
        <w:t>(Alliance News, 2026)</w:t>
      </w:r>
      <w:r w:rsidR="00BB5D25" w:rsidRPr="00B96620">
        <w:rPr>
          <w:rFonts w:asciiTheme="majorHAnsi" w:hAnsiTheme="majorHAnsi" w:cs="Times New Roman"/>
          <w:sz w:val="28"/>
          <w:szCs w:val="28"/>
        </w:rPr>
        <w:fldChar w:fldCharType="end"/>
      </w:r>
      <w:r w:rsidR="00D21054" w:rsidRPr="00B96620">
        <w:rPr>
          <w:rFonts w:asciiTheme="majorHAnsi" w:hAnsiTheme="majorHAnsi" w:cs="Times New Roman"/>
          <w:sz w:val="28"/>
          <w:szCs w:val="28"/>
        </w:rPr>
        <w:t>.</w:t>
      </w:r>
    </w:p>
    <w:p w14:paraId="6087007D" w14:textId="7F7413DA" w:rsidR="00905DA1" w:rsidRPr="00B96620" w:rsidRDefault="00BB5D25" w:rsidP="00624D61">
      <w:pPr>
        <w:rPr>
          <w:rFonts w:asciiTheme="majorHAnsi" w:hAnsiTheme="majorHAnsi" w:cs="Times New Roman"/>
          <w:sz w:val="28"/>
          <w:szCs w:val="28"/>
        </w:rPr>
      </w:pPr>
      <w:r w:rsidRPr="00B96620">
        <w:rPr>
          <w:rFonts w:asciiTheme="majorHAnsi" w:hAnsiTheme="majorHAnsi" w:cs="Times New Roman"/>
          <w:sz w:val="28"/>
          <w:szCs w:val="28"/>
        </w:rPr>
        <w:t xml:space="preserve">Net Asset Turnover (NAT) for ONT changed slightly between 0.28 in 2022 and 0.29 in 2024. </w:t>
      </w:r>
      <w:r w:rsidR="00C31A5E" w:rsidRPr="00B96620">
        <w:rPr>
          <w:rFonts w:asciiTheme="majorHAnsi" w:hAnsiTheme="majorHAnsi" w:cs="Times New Roman"/>
          <w:sz w:val="28"/>
          <w:szCs w:val="28"/>
        </w:rPr>
        <w:t>A NAT below 1.0 is characteristic of companies that need a lot of money to run</w:t>
      </w:r>
      <w:r w:rsidR="001D463B" w:rsidRPr="00B96620">
        <w:rPr>
          <w:rFonts w:asciiTheme="majorHAnsi" w:hAnsiTheme="majorHAnsi" w:cs="Times New Roman"/>
          <w:sz w:val="28"/>
          <w:szCs w:val="28"/>
        </w:rPr>
        <w:t xml:space="preserve"> </w:t>
      </w:r>
      <w:r w:rsidR="001D463B" w:rsidRPr="00B96620">
        <w:rPr>
          <w:rFonts w:asciiTheme="majorHAnsi" w:hAnsiTheme="majorHAnsi" w:cs="Times New Roman"/>
          <w:sz w:val="28"/>
          <w:szCs w:val="28"/>
        </w:rPr>
        <w:fldChar w:fldCharType="begin"/>
      </w:r>
      <w:r w:rsidR="001D463B" w:rsidRPr="00B96620">
        <w:rPr>
          <w:rFonts w:asciiTheme="majorHAnsi" w:hAnsiTheme="majorHAnsi" w:cs="Times New Roman"/>
          <w:sz w:val="28"/>
          <w:szCs w:val="28"/>
        </w:rPr>
        <w:instrText xml:space="preserve"> ADDIN ZOTERO_ITEM CSL_CITATION {"citationID":"7VXQB8Mz","properties":{"formattedCitation":"(Allianz Trade, 2026)","plainCitation":"(Allianz Trade, 2026)","noteIndex":0},"citationItems":[{"id":32,"uris":["http://zotero.org/users/local/R5xVNRvV/items/GDB9E3KR"],"itemData":{"id":32,"type":"webpage","abstract":"In this article, learn how to calculate and interpret your asset turnover ratio and use that number to gain a tool for measuring business performance.","container-title":"Allianz Trade Corporate","language":"en-US","title":"Asset Turnover Ratio: Definition, Formula And Practical Insights","title-short":"Asset Turnover Ratio","URL":"https://www.allianz-trade.com/en_US/insights/asset-turnover-ratio.html","author":[{"literal":"Allianz Trade"}],"accessed":{"date-parts":[["2026",3,5]]},"issued":{"date-parts":[["2026"]]}}}],"schema":"https://github.com/citation-style-language/schema/raw/master/csl-citation.json"} </w:instrText>
      </w:r>
      <w:r w:rsidR="001D463B" w:rsidRPr="00B96620">
        <w:rPr>
          <w:rFonts w:asciiTheme="majorHAnsi" w:hAnsiTheme="majorHAnsi" w:cs="Times New Roman"/>
          <w:sz w:val="28"/>
          <w:szCs w:val="28"/>
        </w:rPr>
        <w:fldChar w:fldCharType="separate"/>
      </w:r>
      <w:r w:rsidR="001D463B" w:rsidRPr="00B96620">
        <w:rPr>
          <w:rFonts w:asciiTheme="majorHAnsi" w:hAnsiTheme="majorHAnsi" w:cs="Times New Roman"/>
          <w:sz w:val="28"/>
        </w:rPr>
        <w:t>(Allianz Trade, 2026)</w:t>
      </w:r>
      <w:r w:rsidR="001D463B" w:rsidRPr="00B96620">
        <w:rPr>
          <w:rFonts w:asciiTheme="majorHAnsi" w:hAnsiTheme="majorHAnsi" w:cs="Times New Roman"/>
          <w:sz w:val="28"/>
          <w:szCs w:val="28"/>
        </w:rPr>
        <w:fldChar w:fldCharType="end"/>
      </w:r>
      <w:r w:rsidR="00C31A5E" w:rsidRPr="00B96620">
        <w:rPr>
          <w:rFonts w:asciiTheme="majorHAnsi" w:hAnsiTheme="majorHAnsi" w:cs="Times New Roman"/>
          <w:sz w:val="28"/>
          <w:szCs w:val="28"/>
        </w:rPr>
        <w:t>. Since the firm often holds large amounts of cash and valuable technology that do not turn into sales right away, the small improvement at the end of the period shows early signs that the business is becoming more efficient as its new products start to sell better.</w:t>
      </w:r>
    </w:p>
    <w:p w14:paraId="092B9194" w14:textId="151E7E3D" w:rsidR="00905DA1" w:rsidRPr="00B96620" w:rsidRDefault="00905DA1" w:rsidP="00624D61">
      <w:pPr>
        <w:rPr>
          <w:rFonts w:asciiTheme="majorHAnsi" w:hAnsiTheme="majorHAnsi" w:cs="Times New Roman"/>
          <w:sz w:val="28"/>
          <w:szCs w:val="28"/>
        </w:rPr>
      </w:pPr>
      <w:r w:rsidRPr="00B96620">
        <w:rPr>
          <w:rFonts w:asciiTheme="majorHAnsi" w:hAnsiTheme="majorHAnsi" w:cs="Times New Roman"/>
          <w:sz w:val="28"/>
          <w:szCs w:val="28"/>
        </w:rPr>
        <w:lastRenderedPageBreak/>
        <w:t xml:space="preserve">The firm's current ratio shows a declining liquidity position over the three-year period, falling from 6.22 in 2022 to 4.66 in 2024. Although these figures remain well above the generally accepted benchmark, they are largely driven by cash raised through </w:t>
      </w:r>
      <w:r w:rsidR="001D463B" w:rsidRPr="00B96620">
        <w:rPr>
          <w:rFonts w:asciiTheme="majorHAnsi" w:hAnsiTheme="majorHAnsi" w:cs="Times New Roman"/>
          <w:sz w:val="28"/>
          <w:szCs w:val="28"/>
        </w:rPr>
        <w:t>selling shares</w:t>
      </w:r>
      <w:r w:rsidRPr="00B96620">
        <w:rPr>
          <w:rFonts w:asciiTheme="majorHAnsi" w:hAnsiTheme="majorHAnsi" w:cs="Times New Roman"/>
          <w:sz w:val="28"/>
          <w:szCs w:val="28"/>
        </w:rPr>
        <w:t xml:space="preserve"> rather than income from operations. As of December 2024, ONT held £403.8 million in cash, cash equivalents, and other liquid investments, compared to £472.1 million in 2023, indicating that its reserves are gradually being used up </w:t>
      </w:r>
      <w:r w:rsidRPr="00B96620">
        <w:rPr>
          <w:rFonts w:asciiTheme="majorHAnsi" w:hAnsiTheme="majorHAnsi" w:cs="Times New Roman"/>
          <w:sz w:val="28"/>
          <w:szCs w:val="28"/>
        </w:rPr>
        <w:fldChar w:fldCharType="begin"/>
      </w:r>
      <w:r w:rsidRPr="00B96620">
        <w:rPr>
          <w:rFonts w:asciiTheme="majorHAnsi" w:hAnsiTheme="majorHAnsi" w:cs="Times New Roman"/>
          <w:sz w:val="28"/>
          <w:szCs w:val="28"/>
        </w:rPr>
        <w:instrText xml:space="preserve"> ADDIN ZOTERO_ITEM CSL_CITATION {"citationID":"oWb52j24","properties":{"formattedCitation":"(IP Group PLC, 2025)","plainCitation":"(IP Group PLC, 2025)","noteIndex":0},"citationItems":[{"id":8,"uris":["http://zotero.org/users/local/R5xVNRvV/items/4ZPTEVAR"],"itemData":{"id":8,"type":"webpage","abstract":"Oxford Nanopore Technologies plc - Full Year Trading Update and Notice of Results","language":"en","title":"Oxford Nanopore Technologies plc - Full Year Trading Update and Notice of Results","URL":"https://www.ipgroupplc.com/news-and-events/portfolio-news/2025/2025-01-13","author":[{"literal":"IP Group PLC"}],"accessed":{"date-parts":[["2026",2,28]]},"issued":{"date-parts":[["2025",1,13]]}}}],"schema":"https://github.com/citation-style-language/schema/raw/master/csl-citation.json"} </w:instrText>
      </w:r>
      <w:r w:rsidRPr="00B96620">
        <w:rPr>
          <w:rFonts w:asciiTheme="majorHAnsi" w:hAnsiTheme="majorHAnsi" w:cs="Times New Roman"/>
          <w:sz w:val="28"/>
          <w:szCs w:val="28"/>
        </w:rPr>
        <w:fldChar w:fldCharType="separate"/>
      </w:r>
      <w:r w:rsidRPr="00B96620">
        <w:rPr>
          <w:rFonts w:asciiTheme="majorHAnsi" w:hAnsiTheme="majorHAnsi" w:cs="Times New Roman"/>
          <w:sz w:val="28"/>
        </w:rPr>
        <w:t>(IP Group PLC, 2025)</w:t>
      </w:r>
      <w:r w:rsidRPr="00B96620">
        <w:rPr>
          <w:rFonts w:asciiTheme="majorHAnsi" w:hAnsiTheme="majorHAnsi" w:cs="Times New Roman"/>
          <w:sz w:val="28"/>
          <w:szCs w:val="28"/>
        </w:rPr>
        <w:fldChar w:fldCharType="end"/>
      </w:r>
      <w:r w:rsidRPr="00B96620">
        <w:rPr>
          <w:rFonts w:asciiTheme="majorHAnsi" w:hAnsiTheme="majorHAnsi" w:cs="Times New Roman"/>
          <w:sz w:val="28"/>
          <w:szCs w:val="28"/>
        </w:rPr>
        <w:t xml:space="preserve">. While the ratio still appears strong on the surface, the steady decline is a warning sign that the company </w:t>
      </w:r>
      <w:r w:rsidR="001F11D4" w:rsidRPr="00B96620">
        <w:rPr>
          <w:rFonts w:asciiTheme="majorHAnsi" w:hAnsiTheme="majorHAnsi" w:cs="Times New Roman"/>
          <w:sz w:val="28"/>
          <w:szCs w:val="28"/>
        </w:rPr>
        <w:t>spends its cash faster than it generates from business operations</w:t>
      </w:r>
      <w:r w:rsidRPr="00B96620">
        <w:rPr>
          <w:rFonts w:asciiTheme="majorHAnsi" w:hAnsiTheme="majorHAnsi" w:cs="Times New Roman"/>
          <w:sz w:val="28"/>
          <w:szCs w:val="28"/>
        </w:rPr>
        <w:t>.</w:t>
      </w:r>
    </w:p>
    <w:p w14:paraId="0B0CF403" w14:textId="77777777" w:rsidR="00DB7DBE" w:rsidRPr="00B96620" w:rsidRDefault="00DB7DBE" w:rsidP="00624D61">
      <w:pPr>
        <w:rPr>
          <w:rFonts w:asciiTheme="majorHAnsi" w:hAnsiTheme="majorHAnsi"/>
        </w:rPr>
      </w:pPr>
    </w:p>
    <w:p w14:paraId="0C02B840" w14:textId="2AB35372" w:rsidR="00CD3CA6" w:rsidRPr="00B96620" w:rsidRDefault="00CD3CA6" w:rsidP="00CD3CA6">
      <w:pPr>
        <w:pStyle w:val="Heading3"/>
        <w:rPr>
          <w:rFonts w:asciiTheme="majorHAnsi" w:hAnsiTheme="majorHAnsi" w:cs="Times New Roman"/>
        </w:rPr>
      </w:pPr>
      <w:r w:rsidRPr="00B96620">
        <w:rPr>
          <w:rFonts w:asciiTheme="majorHAnsi" w:hAnsiTheme="majorHAnsi" w:cs="Times New Roman"/>
        </w:rPr>
        <w:t>2.2 Financial performance comparison to sector</w:t>
      </w:r>
      <w:r w:rsidR="00F623FC" w:rsidRPr="00B96620">
        <w:rPr>
          <w:rFonts w:asciiTheme="majorHAnsi" w:hAnsiTheme="majorHAnsi" w:cs="Times New Roman"/>
        </w:rPr>
        <w:t>.</w:t>
      </w:r>
    </w:p>
    <w:p w14:paraId="1CE16400" w14:textId="65F78258" w:rsidR="00F623FC" w:rsidRPr="00B96620" w:rsidRDefault="00F623FC" w:rsidP="00F623FC">
      <w:pPr>
        <w:rPr>
          <w:rFonts w:asciiTheme="majorHAnsi" w:hAnsiTheme="majorHAnsi" w:cs="Times New Roman"/>
          <w:sz w:val="28"/>
          <w:szCs w:val="28"/>
        </w:rPr>
      </w:pPr>
      <w:r w:rsidRPr="00B96620">
        <w:rPr>
          <w:rFonts w:asciiTheme="majorHAnsi" w:hAnsiTheme="majorHAnsi" w:cs="Times New Roman"/>
          <w:sz w:val="28"/>
          <w:szCs w:val="28"/>
        </w:rPr>
        <w:t>To better understand ONT's financial situation, it is useful to compare it with Genus PLC, an older UK biotechnology company that focuses on animal genetics.</w:t>
      </w:r>
    </w:p>
    <w:p w14:paraId="3A2B1F56" w14:textId="24E1911F" w:rsidR="00F623FC" w:rsidRPr="00B96620" w:rsidRDefault="00F623FC" w:rsidP="00F623FC">
      <w:pPr>
        <w:rPr>
          <w:rFonts w:asciiTheme="majorHAnsi" w:hAnsiTheme="majorHAnsi"/>
        </w:rPr>
      </w:pPr>
      <w:r w:rsidRPr="00B96620">
        <w:rPr>
          <w:rFonts w:asciiTheme="majorHAnsi" w:hAnsiTheme="majorHAnsi"/>
          <w:noProof/>
        </w:rPr>
        <w:drawing>
          <wp:inline distT="0" distB="0" distL="0" distR="0" wp14:anchorId="7C891FF6" wp14:editId="27B28A3C">
            <wp:extent cx="5731510" cy="3575685"/>
            <wp:effectExtent l="0" t="0" r="2540" b="5715"/>
            <wp:docPr id="21002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0797" name=""/>
                    <pic:cNvPicPr/>
                  </pic:nvPicPr>
                  <pic:blipFill>
                    <a:blip r:embed="rId10"/>
                    <a:stretch>
                      <a:fillRect/>
                    </a:stretch>
                  </pic:blipFill>
                  <pic:spPr>
                    <a:xfrm>
                      <a:off x="0" y="0"/>
                      <a:ext cx="5731510" cy="3575685"/>
                    </a:xfrm>
                    <a:prstGeom prst="rect">
                      <a:avLst/>
                    </a:prstGeom>
                  </pic:spPr>
                </pic:pic>
              </a:graphicData>
            </a:graphic>
          </wp:inline>
        </w:drawing>
      </w:r>
    </w:p>
    <w:p w14:paraId="00CEE85C" w14:textId="055A305A" w:rsidR="00F623FC" w:rsidRPr="00B96620" w:rsidRDefault="00F623FC" w:rsidP="00F623FC">
      <w:pPr>
        <w:jc w:val="center"/>
        <w:rPr>
          <w:rFonts w:asciiTheme="majorHAnsi" w:hAnsiTheme="majorHAnsi" w:cs="Times New Roman"/>
          <w:i/>
          <w:iCs/>
        </w:rPr>
      </w:pPr>
      <w:r w:rsidRPr="00B96620">
        <w:rPr>
          <w:rFonts w:asciiTheme="majorHAnsi" w:hAnsiTheme="majorHAnsi" w:cs="Times New Roman"/>
          <w:i/>
          <w:iCs/>
        </w:rPr>
        <w:t>Figure 1: Operating Profit Margin between ONT and GNS.</w:t>
      </w:r>
    </w:p>
    <w:p w14:paraId="30A6E0F9" w14:textId="4DDDA341" w:rsidR="00AC5E60" w:rsidRPr="00B96620" w:rsidRDefault="00AC5E60" w:rsidP="00880CA9">
      <w:pPr>
        <w:rPr>
          <w:rFonts w:asciiTheme="majorHAnsi" w:hAnsiTheme="majorHAnsi" w:cs="Times New Roman"/>
          <w:sz w:val="28"/>
          <w:szCs w:val="28"/>
        </w:rPr>
      </w:pPr>
      <w:r w:rsidRPr="00B96620">
        <w:rPr>
          <w:rFonts w:asciiTheme="majorHAnsi" w:hAnsiTheme="majorHAnsi" w:cs="Times New Roman"/>
          <w:sz w:val="28"/>
          <w:szCs w:val="28"/>
        </w:rPr>
        <w:t xml:space="preserve">ONT has recorded deeply negative operating profit margins throughout the period, falling as low as -99.38% in 2023 before partially recovering to -83.16% in 2024. </w:t>
      </w:r>
      <w:r w:rsidR="00A9262B" w:rsidRPr="00B96620">
        <w:rPr>
          <w:rFonts w:asciiTheme="majorHAnsi" w:hAnsiTheme="majorHAnsi" w:cs="Times New Roman"/>
          <w:sz w:val="28"/>
          <w:szCs w:val="28"/>
        </w:rPr>
        <w:t xml:space="preserve">In 2023, the firm’s </w:t>
      </w:r>
      <w:r w:rsidRPr="00B96620">
        <w:rPr>
          <w:rFonts w:asciiTheme="majorHAnsi" w:hAnsiTheme="majorHAnsi" w:cs="Times New Roman"/>
          <w:sz w:val="28"/>
          <w:szCs w:val="28"/>
        </w:rPr>
        <w:t xml:space="preserve">net loss reached £154.5 million, largely driven by a 50% increase in R&amp;D spending to £103.8 million (IP Group PLC). Genus PLC, while consistently profitable, has seen its margin shrink significantly from 8.32% </w:t>
      </w:r>
      <w:r w:rsidRPr="00B96620">
        <w:rPr>
          <w:rFonts w:asciiTheme="majorHAnsi" w:hAnsiTheme="majorHAnsi" w:cs="Times New Roman"/>
          <w:sz w:val="28"/>
          <w:szCs w:val="28"/>
        </w:rPr>
        <w:lastRenderedPageBreak/>
        <w:t xml:space="preserve">in 2022 to just 0.96% in 2024. Genus reported lower adjusted operating profit in its most recent period, reflecting challenging market conditions across several regions </w:t>
      </w:r>
      <w:r w:rsidRPr="00B96620">
        <w:rPr>
          <w:rFonts w:asciiTheme="majorHAnsi" w:hAnsiTheme="majorHAnsi" w:cs="Times New Roman"/>
          <w:sz w:val="28"/>
          <w:szCs w:val="28"/>
        </w:rPr>
        <w:fldChar w:fldCharType="begin"/>
      </w:r>
      <w:r w:rsidR="0094659F" w:rsidRPr="00B96620">
        <w:rPr>
          <w:rFonts w:asciiTheme="majorHAnsi" w:hAnsiTheme="majorHAnsi" w:cs="Times New Roman"/>
          <w:sz w:val="28"/>
          <w:szCs w:val="28"/>
        </w:rPr>
        <w:instrText xml:space="preserve"> ADDIN ZOTERO_ITEM CSL_CITATION {"citationID":"0ZfUgtFA","properties":{"formattedCitation":"(Genus PLC, 2023)","plainCitation":"(Genus PLC, 2023)","noteIndex":0},"citationItems":[{"id":22,"uris":["http://zotero.org/users/local/R5xVNRvV/items/7NWB2EIA"],"itemData":{"id":22,"type":"webpage","abstract":"Genus (LSE:GNS), a leading global animal genetics company, today announces its preliminary results for the year ended 30 June 2023. The full report has been ...","language":"en","title":"Genus plc Preliminary Results for the Year Ended 30 June 2023","URL":"https://www.businesswire.com/news/home/20230906828945/en/Genus-plc-Preliminary-Results-for-the-Year-Ended-30-June-2023","author":[{"literal":"Genus PLC"}],"accessed":{"date-parts":[["2026",3,4]]},"issued":{"date-parts":[["2023",9,7]]}}}],"schema":"https://github.com/citation-style-language/schema/raw/master/csl-citation.json"} </w:instrText>
      </w:r>
      <w:r w:rsidRPr="00B96620">
        <w:rPr>
          <w:rFonts w:asciiTheme="majorHAnsi" w:hAnsiTheme="majorHAnsi" w:cs="Times New Roman"/>
          <w:sz w:val="28"/>
          <w:szCs w:val="28"/>
        </w:rPr>
        <w:fldChar w:fldCharType="separate"/>
      </w:r>
      <w:r w:rsidR="0094659F" w:rsidRPr="00B96620">
        <w:rPr>
          <w:rFonts w:asciiTheme="majorHAnsi" w:hAnsiTheme="majorHAnsi" w:cs="Times New Roman"/>
          <w:sz w:val="28"/>
        </w:rPr>
        <w:t>(Genus PLC, 2023)</w:t>
      </w:r>
      <w:r w:rsidRPr="00B96620">
        <w:rPr>
          <w:rFonts w:asciiTheme="majorHAnsi" w:hAnsiTheme="majorHAnsi" w:cs="Times New Roman"/>
          <w:sz w:val="28"/>
          <w:szCs w:val="28"/>
        </w:rPr>
        <w:fldChar w:fldCharType="end"/>
      </w:r>
      <w:r w:rsidRPr="00B96620">
        <w:rPr>
          <w:rFonts w:asciiTheme="majorHAnsi" w:hAnsiTheme="majorHAnsi" w:cs="Times New Roman"/>
          <w:sz w:val="28"/>
          <w:szCs w:val="28"/>
        </w:rPr>
        <w:t>.</w:t>
      </w:r>
    </w:p>
    <w:p w14:paraId="72F96E0A" w14:textId="43B724B6" w:rsidR="00AC5E60" w:rsidRPr="00B96620" w:rsidRDefault="00AC5E60" w:rsidP="00880CA9">
      <w:pPr>
        <w:rPr>
          <w:rFonts w:asciiTheme="majorHAnsi" w:hAnsiTheme="majorHAnsi" w:cs="Times New Roman"/>
          <w:sz w:val="28"/>
          <w:szCs w:val="28"/>
        </w:rPr>
      </w:pPr>
      <w:r w:rsidRPr="00B96620">
        <w:rPr>
          <w:rFonts w:asciiTheme="majorHAnsi" w:hAnsiTheme="majorHAnsi"/>
          <w:noProof/>
        </w:rPr>
        <w:drawing>
          <wp:inline distT="0" distB="0" distL="0" distR="0" wp14:anchorId="640833C4" wp14:editId="29B6E00A">
            <wp:extent cx="5668166" cy="3562847"/>
            <wp:effectExtent l="0" t="0" r="8890" b="0"/>
            <wp:docPr id="3" name="Picture 2">
              <a:extLst xmlns:a="http://schemas.openxmlformats.org/drawingml/2006/main">
                <a:ext uri="{FF2B5EF4-FFF2-40B4-BE49-F238E27FC236}">
                  <a16:creationId xmlns:a16="http://schemas.microsoft.com/office/drawing/2014/main" id="{CBDF1519-1231-8844-1195-DA0FA667E9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BDF1519-1231-8844-1195-DA0FA667E9A5}"/>
                        </a:ext>
                      </a:extLst>
                    </pic:cNvPr>
                    <pic:cNvPicPr>
                      <a:picLocks noChangeAspect="1"/>
                    </pic:cNvPicPr>
                  </pic:nvPicPr>
                  <pic:blipFill>
                    <a:blip r:embed="rId11"/>
                    <a:stretch>
                      <a:fillRect/>
                    </a:stretch>
                  </pic:blipFill>
                  <pic:spPr>
                    <a:xfrm>
                      <a:off x="0" y="0"/>
                      <a:ext cx="5668166" cy="3562847"/>
                    </a:xfrm>
                    <a:prstGeom prst="rect">
                      <a:avLst/>
                    </a:prstGeom>
                  </pic:spPr>
                </pic:pic>
              </a:graphicData>
            </a:graphic>
          </wp:inline>
        </w:drawing>
      </w:r>
    </w:p>
    <w:p w14:paraId="0BFE1536" w14:textId="5A732105" w:rsidR="00F1206D" w:rsidRPr="00B96620" w:rsidRDefault="00AC5E60" w:rsidP="00F1206D">
      <w:pPr>
        <w:jc w:val="center"/>
        <w:rPr>
          <w:rFonts w:asciiTheme="majorHAnsi" w:hAnsiTheme="majorHAnsi" w:cs="Times New Roman"/>
          <w:i/>
          <w:iCs/>
        </w:rPr>
      </w:pPr>
      <w:r w:rsidRPr="00B96620">
        <w:rPr>
          <w:rFonts w:asciiTheme="majorHAnsi" w:hAnsiTheme="majorHAnsi" w:cs="Times New Roman"/>
          <w:i/>
          <w:iCs/>
        </w:rPr>
        <w:t>Figure 2: Current Ratio between ONT and GNS.</w:t>
      </w:r>
    </w:p>
    <w:p w14:paraId="04F37270" w14:textId="77777777" w:rsidR="00F1206D" w:rsidRPr="00B96620" w:rsidRDefault="00F1206D" w:rsidP="00F1206D">
      <w:pPr>
        <w:jc w:val="center"/>
        <w:rPr>
          <w:rFonts w:asciiTheme="majorHAnsi" w:hAnsiTheme="majorHAnsi" w:cs="Times New Roman"/>
          <w:i/>
          <w:iCs/>
        </w:rPr>
      </w:pPr>
    </w:p>
    <w:p w14:paraId="1A57311F" w14:textId="6519D0EB" w:rsidR="00F1206D" w:rsidRPr="00B96620" w:rsidRDefault="00F1206D" w:rsidP="00F1206D">
      <w:pPr>
        <w:jc w:val="center"/>
        <w:rPr>
          <w:rFonts w:asciiTheme="majorHAnsi" w:hAnsiTheme="majorHAnsi" w:cs="Times New Roman"/>
          <w:i/>
          <w:iCs/>
        </w:rPr>
      </w:pPr>
      <w:r w:rsidRPr="00B96620">
        <w:rPr>
          <w:rFonts w:asciiTheme="majorHAnsi" w:hAnsiTheme="majorHAnsi" w:cs="Times New Roman"/>
          <w:i/>
          <w:iCs/>
          <w:noProof/>
        </w:rPr>
        <w:drawing>
          <wp:inline distT="0" distB="0" distL="0" distR="0" wp14:anchorId="2A70B8E4" wp14:editId="4171BD6C">
            <wp:extent cx="5630061" cy="3572374"/>
            <wp:effectExtent l="0" t="0" r="8890" b="9525"/>
            <wp:docPr id="157088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88912" name=""/>
                    <pic:cNvPicPr/>
                  </pic:nvPicPr>
                  <pic:blipFill>
                    <a:blip r:embed="rId12"/>
                    <a:stretch>
                      <a:fillRect/>
                    </a:stretch>
                  </pic:blipFill>
                  <pic:spPr>
                    <a:xfrm>
                      <a:off x="0" y="0"/>
                      <a:ext cx="5630061" cy="3572374"/>
                    </a:xfrm>
                    <a:prstGeom prst="rect">
                      <a:avLst/>
                    </a:prstGeom>
                  </pic:spPr>
                </pic:pic>
              </a:graphicData>
            </a:graphic>
          </wp:inline>
        </w:drawing>
      </w:r>
    </w:p>
    <w:p w14:paraId="4F575F80" w14:textId="1CFAD295" w:rsidR="00F1206D" w:rsidRPr="00B96620" w:rsidRDefault="00F1206D" w:rsidP="00F1206D">
      <w:pPr>
        <w:jc w:val="center"/>
        <w:rPr>
          <w:rFonts w:asciiTheme="majorHAnsi" w:hAnsiTheme="majorHAnsi" w:cs="Times New Roman"/>
          <w:i/>
          <w:iCs/>
        </w:rPr>
      </w:pPr>
      <w:r w:rsidRPr="00B96620">
        <w:rPr>
          <w:rFonts w:asciiTheme="majorHAnsi" w:hAnsiTheme="majorHAnsi" w:cs="Times New Roman"/>
          <w:i/>
          <w:iCs/>
        </w:rPr>
        <w:lastRenderedPageBreak/>
        <w:t>Figure 3: Gearting Ratio between ONT and GNS.</w:t>
      </w:r>
    </w:p>
    <w:p w14:paraId="3D0A1A41" w14:textId="512AAEFD" w:rsidR="00F1206D" w:rsidRPr="00B96620" w:rsidRDefault="00170FEF" w:rsidP="00880CA9">
      <w:pPr>
        <w:rPr>
          <w:rFonts w:asciiTheme="majorHAnsi" w:hAnsiTheme="majorHAnsi" w:cs="Times New Roman"/>
          <w:sz w:val="28"/>
          <w:szCs w:val="28"/>
        </w:rPr>
      </w:pPr>
      <w:r w:rsidRPr="00B96620">
        <w:rPr>
          <w:rFonts w:asciiTheme="majorHAnsi" w:hAnsiTheme="majorHAnsi" w:cs="Times New Roman"/>
          <w:sz w:val="28"/>
          <w:szCs w:val="28"/>
        </w:rPr>
        <w:t xml:space="preserve">Unlike ONT, the structural risks linked to Genus's maturity differ in nature. Genus relies significantly more on debt financing, indicated by a Gearing Ratio of 38.07%, whereas ONT maintains a very low 7.01%. Additionally, while ONT burns through cash rapidly, it protects itself against insolvency with a much higher Current Ratio of 4.66, compared to Genus's standard 1.80. </w:t>
      </w:r>
    </w:p>
    <w:p w14:paraId="1D8790D5" w14:textId="755ECF07" w:rsidR="00566018" w:rsidRPr="00B96620" w:rsidRDefault="00566018" w:rsidP="00880CA9">
      <w:pPr>
        <w:rPr>
          <w:rFonts w:asciiTheme="majorHAnsi" w:hAnsiTheme="majorHAnsi" w:cs="Times New Roman"/>
          <w:sz w:val="28"/>
          <w:szCs w:val="28"/>
        </w:rPr>
      </w:pPr>
      <w:r w:rsidRPr="00B96620">
        <w:rPr>
          <w:rFonts w:asciiTheme="majorHAnsi" w:hAnsiTheme="majorHAnsi"/>
          <w:noProof/>
        </w:rPr>
        <w:drawing>
          <wp:inline distT="0" distB="0" distL="0" distR="0" wp14:anchorId="513936C1" wp14:editId="1AF663A8">
            <wp:extent cx="5677692" cy="3591426"/>
            <wp:effectExtent l="0" t="0" r="0" b="9525"/>
            <wp:docPr id="4" name="Picture 3">
              <a:extLst xmlns:a="http://schemas.openxmlformats.org/drawingml/2006/main">
                <a:ext uri="{FF2B5EF4-FFF2-40B4-BE49-F238E27FC236}">
                  <a16:creationId xmlns:a16="http://schemas.microsoft.com/office/drawing/2014/main" id="{82646299-7E18-95DF-B8A4-4B6F945794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2646299-7E18-95DF-B8A4-4B6F9457944C}"/>
                        </a:ext>
                      </a:extLst>
                    </pic:cNvPr>
                    <pic:cNvPicPr>
                      <a:picLocks noChangeAspect="1"/>
                    </pic:cNvPicPr>
                  </pic:nvPicPr>
                  <pic:blipFill>
                    <a:blip r:embed="rId13"/>
                    <a:stretch>
                      <a:fillRect/>
                    </a:stretch>
                  </pic:blipFill>
                  <pic:spPr>
                    <a:xfrm>
                      <a:off x="0" y="0"/>
                      <a:ext cx="5677692" cy="3591426"/>
                    </a:xfrm>
                    <a:prstGeom prst="rect">
                      <a:avLst/>
                    </a:prstGeom>
                  </pic:spPr>
                </pic:pic>
              </a:graphicData>
            </a:graphic>
          </wp:inline>
        </w:drawing>
      </w:r>
    </w:p>
    <w:p w14:paraId="10319B2E" w14:textId="7DF3DD4C" w:rsidR="00566018" w:rsidRPr="00B96620" w:rsidRDefault="00566018" w:rsidP="00566018">
      <w:pPr>
        <w:jc w:val="center"/>
        <w:rPr>
          <w:rFonts w:asciiTheme="majorHAnsi" w:hAnsiTheme="majorHAnsi" w:cs="Times New Roman"/>
          <w:i/>
          <w:iCs/>
        </w:rPr>
      </w:pPr>
      <w:r w:rsidRPr="00B96620">
        <w:rPr>
          <w:rFonts w:asciiTheme="majorHAnsi" w:hAnsiTheme="majorHAnsi" w:cs="Times New Roman"/>
          <w:i/>
          <w:iCs/>
        </w:rPr>
        <w:t>Figure</w:t>
      </w:r>
      <w:r w:rsidR="00170FEF" w:rsidRPr="00B96620">
        <w:rPr>
          <w:rFonts w:asciiTheme="majorHAnsi" w:hAnsiTheme="majorHAnsi" w:cs="Times New Roman"/>
          <w:i/>
          <w:iCs/>
        </w:rPr>
        <w:t xml:space="preserve"> 4</w:t>
      </w:r>
      <w:r w:rsidRPr="00B96620">
        <w:rPr>
          <w:rFonts w:asciiTheme="majorHAnsi" w:hAnsiTheme="majorHAnsi" w:cs="Times New Roman"/>
          <w:i/>
          <w:iCs/>
        </w:rPr>
        <w:t>: Return on Shareholder Funds between ONT and GNS.</w:t>
      </w:r>
    </w:p>
    <w:p w14:paraId="21686CA9" w14:textId="308B19C4" w:rsidR="00865509" w:rsidRPr="00B96620" w:rsidRDefault="00566018" w:rsidP="00880CA9">
      <w:pPr>
        <w:rPr>
          <w:rFonts w:asciiTheme="majorHAnsi" w:hAnsiTheme="majorHAnsi" w:cs="Times New Roman"/>
          <w:sz w:val="28"/>
          <w:szCs w:val="28"/>
        </w:rPr>
      </w:pPr>
      <w:r w:rsidRPr="00B96620">
        <w:rPr>
          <w:rFonts w:asciiTheme="majorHAnsi" w:hAnsiTheme="majorHAnsi" w:cs="Times New Roman"/>
          <w:sz w:val="28"/>
          <w:szCs w:val="28"/>
        </w:rPr>
        <w:t xml:space="preserve">ONT's </w:t>
      </w:r>
      <w:proofErr w:type="gramStart"/>
      <w:r w:rsidRPr="00B96620">
        <w:rPr>
          <w:rFonts w:asciiTheme="majorHAnsi" w:hAnsiTheme="majorHAnsi" w:cs="Times New Roman"/>
          <w:sz w:val="28"/>
          <w:szCs w:val="28"/>
        </w:rPr>
        <w:t>ROSF</w:t>
      </w:r>
      <w:r w:rsidR="004F7140" w:rsidRPr="00B96620">
        <w:rPr>
          <w:rFonts w:asciiTheme="majorHAnsi" w:hAnsiTheme="majorHAnsi" w:cs="Times New Roman"/>
          <w:sz w:val="28"/>
          <w:szCs w:val="28"/>
        </w:rPr>
        <w:t xml:space="preserve">  </w:t>
      </w:r>
      <w:r w:rsidRPr="00B96620">
        <w:rPr>
          <w:rFonts w:asciiTheme="majorHAnsi" w:hAnsiTheme="majorHAnsi" w:cs="Times New Roman"/>
          <w:sz w:val="28"/>
          <w:szCs w:val="28"/>
        </w:rPr>
        <w:t>has</w:t>
      </w:r>
      <w:proofErr w:type="gramEnd"/>
      <w:r w:rsidRPr="00B96620">
        <w:rPr>
          <w:rFonts w:asciiTheme="majorHAnsi" w:hAnsiTheme="majorHAnsi" w:cs="Times New Roman"/>
          <w:sz w:val="28"/>
          <w:szCs w:val="28"/>
        </w:rPr>
        <w:t xml:space="preserve"> remained deeply negative, worsening from -12.03% in 2022 to -23.87% in 2024, reflecting continuous net losses. ONT recorded an operating loss of £152.3 million in 2024 and £168.6 million in 2023, confirming that the company is still far from profitable</w:t>
      </w:r>
      <w:r w:rsidR="00A301E3" w:rsidRPr="00B96620">
        <w:rPr>
          <w:rFonts w:asciiTheme="majorHAnsi" w:hAnsiTheme="majorHAnsi" w:cs="Times New Roman"/>
          <w:sz w:val="28"/>
          <w:szCs w:val="28"/>
        </w:rPr>
        <w:t xml:space="preserve"> </w:t>
      </w:r>
      <w:r w:rsidR="00A301E3" w:rsidRPr="00B96620">
        <w:rPr>
          <w:rFonts w:asciiTheme="majorHAnsi" w:hAnsiTheme="majorHAnsi" w:cs="Times New Roman"/>
          <w:sz w:val="28"/>
          <w:szCs w:val="28"/>
        </w:rPr>
        <w:fldChar w:fldCharType="begin"/>
      </w:r>
      <w:r w:rsidR="00A301E3" w:rsidRPr="00B96620">
        <w:rPr>
          <w:rFonts w:asciiTheme="majorHAnsi" w:hAnsiTheme="majorHAnsi" w:cs="Times New Roman"/>
          <w:sz w:val="28"/>
          <w:szCs w:val="28"/>
        </w:rPr>
        <w:instrText xml:space="preserve"> ADDIN ZOTERO_ITEM CSL_CITATION {"citationID":"NAIa2Pzg","properties":{"formattedCitation":"(Oxford Nanopore Technologies, 2025a)","plainCitation":"(Oxford Nanopore Technologies, 2025a)","noteIndex":0},"citationItems":[{"id":24,"uris":["http://zotero.org/users/local/R5xVNRvV/items/YJVQEBNF"],"itemData":{"id":24,"type":"webpage","abstract":"News article - Regulatory News Service","language":"en","title":"News article","URL":"https://www.londonstockexchange.com/news-article/ONT/annual-results-for-the-year-ended-31-december-2024/about:blank","author":[{"literal":"Oxford Nanopore Technologies"}],"accessed":{"date-parts":[["2026",3,4]]},"issued":{"date-parts":[["2025",3,4]]}}}],"schema":"https://github.com/citation-style-language/schema/raw/master/csl-citation.json"} </w:instrText>
      </w:r>
      <w:r w:rsidR="00A301E3" w:rsidRPr="00B96620">
        <w:rPr>
          <w:rFonts w:asciiTheme="majorHAnsi" w:hAnsiTheme="majorHAnsi" w:cs="Times New Roman"/>
          <w:sz w:val="28"/>
          <w:szCs w:val="28"/>
        </w:rPr>
        <w:fldChar w:fldCharType="separate"/>
      </w:r>
      <w:r w:rsidR="00A301E3" w:rsidRPr="00B96620">
        <w:rPr>
          <w:rFonts w:asciiTheme="majorHAnsi" w:hAnsiTheme="majorHAnsi" w:cs="Times New Roman"/>
          <w:sz w:val="28"/>
        </w:rPr>
        <w:t>(Oxford Nanopore Technologies, 2025a)</w:t>
      </w:r>
      <w:r w:rsidR="00A301E3" w:rsidRPr="00B96620">
        <w:rPr>
          <w:rFonts w:asciiTheme="majorHAnsi" w:hAnsiTheme="majorHAnsi" w:cs="Times New Roman"/>
          <w:sz w:val="28"/>
          <w:szCs w:val="28"/>
        </w:rPr>
        <w:fldChar w:fldCharType="end"/>
      </w:r>
      <w:r w:rsidRPr="00B96620">
        <w:rPr>
          <w:rFonts w:asciiTheme="majorHAnsi" w:hAnsiTheme="majorHAnsi" w:cs="Times New Roman"/>
          <w:sz w:val="28"/>
          <w:szCs w:val="28"/>
        </w:rPr>
        <w:t xml:space="preserve">. Genus PLC, while remaining in positive territory, has seen its ROSF fall sharply from 8.46% in 2022 to just 1.01% in 2024. For the full year ended June 2024, Genus reported net income of only £7.9 million, a significant drop from £33.3 million </w:t>
      </w:r>
      <w:r w:rsidR="00A301E3" w:rsidRPr="00B96620">
        <w:rPr>
          <w:rFonts w:asciiTheme="majorHAnsi" w:hAnsiTheme="majorHAnsi" w:cs="Times New Roman"/>
          <w:sz w:val="28"/>
          <w:szCs w:val="28"/>
        </w:rPr>
        <w:t xml:space="preserve">in </w:t>
      </w:r>
      <w:r w:rsidRPr="00B96620">
        <w:rPr>
          <w:rFonts w:asciiTheme="majorHAnsi" w:hAnsiTheme="majorHAnsi" w:cs="Times New Roman"/>
          <w:sz w:val="28"/>
          <w:szCs w:val="28"/>
        </w:rPr>
        <w:t>the prior year, which directly explains its declining shareholder returns</w:t>
      </w:r>
      <w:r w:rsidR="00F1206D" w:rsidRPr="00B96620">
        <w:rPr>
          <w:rFonts w:asciiTheme="majorHAnsi" w:hAnsiTheme="majorHAnsi" w:cs="Times New Roman"/>
          <w:sz w:val="28"/>
          <w:szCs w:val="28"/>
        </w:rPr>
        <w:t xml:space="preserve"> </w:t>
      </w:r>
      <w:r w:rsidR="00F1206D" w:rsidRPr="00B96620">
        <w:rPr>
          <w:rFonts w:asciiTheme="majorHAnsi" w:hAnsiTheme="majorHAnsi" w:cs="Times New Roman"/>
          <w:sz w:val="28"/>
          <w:szCs w:val="28"/>
        </w:rPr>
        <w:fldChar w:fldCharType="begin"/>
      </w:r>
      <w:r w:rsidR="00F1206D" w:rsidRPr="00B96620">
        <w:rPr>
          <w:rFonts w:asciiTheme="majorHAnsi" w:hAnsiTheme="majorHAnsi" w:cs="Times New Roman"/>
          <w:sz w:val="28"/>
          <w:szCs w:val="28"/>
        </w:rPr>
        <w:instrText xml:space="preserve"> ADDIN ZOTERO_ITEM CSL_CITATION {"citationID":"LP8agvMa","properties":{"formattedCitation":"(Genus PLC, 2024)","plainCitation":"(Genus PLC, 2024)","noteIndex":0},"citationItems":[{"id":26,"uris":["http://zotero.org/users/local/R5xVNRvV/items/63372BVB"],"itemData":{"id":26,"type":"webpage","abstract":"Genus (LSE:GNS), a leading global animal genetics company, today announces its preliminary results for the year ended 30 June 2024. The full report has been ...","language":"en","title":"Genus plc Preliminary Results for the Year Ended 30 June 2024","URL":"https://www.businesswire.com/news/home/20240904874140/en/Genus-plc-Preliminary-Results-for-the-Year-Ended-30-June-2024","author":[{"literal":"Genus PLC"}],"accessed":{"date-parts":[["2026",3,4]]},"issued":{"date-parts":[["2024",9,5]]}}}],"schema":"https://github.com/citation-style-language/schema/raw/master/csl-citation.json"} </w:instrText>
      </w:r>
      <w:r w:rsidR="00F1206D" w:rsidRPr="00B96620">
        <w:rPr>
          <w:rFonts w:asciiTheme="majorHAnsi" w:hAnsiTheme="majorHAnsi" w:cs="Times New Roman"/>
          <w:sz w:val="28"/>
          <w:szCs w:val="28"/>
        </w:rPr>
        <w:fldChar w:fldCharType="separate"/>
      </w:r>
      <w:r w:rsidR="00F1206D" w:rsidRPr="00B96620">
        <w:rPr>
          <w:rFonts w:asciiTheme="majorHAnsi" w:hAnsiTheme="majorHAnsi" w:cs="Times New Roman"/>
          <w:sz w:val="28"/>
        </w:rPr>
        <w:t>(Genus PLC, 2024)</w:t>
      </w:r>
      <w:r w:rsidR="00F1206D" w:rsidRPr="00B96620">
        <w:rPr>
          <w:rFonts w:asciiTheme="majorHAnsi" w:hAnsiTheme="majorHAnsi" w:cs="Times New Roman"/>
          <w:sz w:val="28"/>
          <w:szCs w:val="28"/>
        </w:rPr>
        <w:fldChar w:fldCharType="end"/>
      </w:r>
      <w:r w:rsidRPr="00B96620">
        <w:rPr>
          <w:rFonts w:asciiTheme="majorHAnsi" w:hAnsiTheme="majorHAnsi" w:cs="Times New Roman"/>
          <w:sz w:val="28"/>
          <w:szCs w:val="28"/>
        </w:rPr>
        <w:t>.</w:t>
      </w:r>
    </w:p>
    <w:p w14:paraId="2E80B7D0" w14:textId="77777777" w:rsidR="001F11D4" w:rsidRPr="00B96620" w:rsidRDefault="001F11D4" w:rsidP="00880CA9">
      <w:pPr>
        <w:rPr>
          <w:rFonts w:asciiTheme="majorHAnsi" w:hAnsiTheme="majorHAnsi" w:cs="Times New Roman"/>
          <w:sz w:val="28"/>
          <w:szCs w:val="28"/>
        </w:rPr>
      </w:pPr>
    </w:p>
    <w:p w14:paraId="15DD62C6" w14:textId="77777777" w:rsidR="001F11D4" w:rsidRPr="00B96620" w:rsidRDefault="001F11D4" w:rsidP="00880CA9">
      <w:pPr>
        <w:rPr>
          <w:rFonts w:asciiTheme="majorHAnsi" w:hAnsiTheme="majorHAnsi" w:cs="Times New Roman"/>
          <w:sz w:val="28"/>
          <w:szCs w:val="28"/>
        </w:rPr>
      </w:pPr>
    </w:p>
    <w:p w14:paraId="07ED2579" w14:textId="22102245" w:rsidR="00CD3CA6" w:rsidRPr="00B96620" w:rsidRDefault="00CD3CA6" w:rsidP="00CD3CA6">
      <w:pPr>
        <w:pStyle w:val="Heading2"/>
        <w:rPr>
          <w:rFonts w:cs="Times New Roman"/>
          <w:sz w:val="28"/>
          <w:szCs w:val="28"/>
        </w:rPr>
      </w:pPr>
      <w:r w:rsidRPr="00B96620">
        <w:rPr>
          <w:rFonts w:cs="Times New Roman"/>
          <w:sz w:val="28"/>
          <w:szCs w:val="28"/>
        </w:rPr>
        <w:lastRenderedPageBreak/>
        <w:t>3 Market Report</w:t>
      </w:r>
    </w:p>
    <w:p w14:paraId="6921DC38" w14:textId="3B10B4FE" w:rsidR="00CD3CA6" w:rsidRPr="00B96620" w:rsidRDefault="00CD3CA6" w:rsidP="00CD3CA6">
      <w:pPr>
        <w:pStyle w:val="Heading3"/>
        <w:rPr>
          <w:rFonts w:asciiTheme="majorHAnsi" w:hAnsiTheme="majorHAnsi" w:cs="Times New Roman"/>
        </w:rPr>
      </w:pPr>
      <w:r w:rsidRPr="00B96620">
        <w:rPr>
          <w:rFonts w:asciiTheme="majorHAnsi" w:hAnsiTheme="majorHAnsi" w:cs="Times New Roman"/>
        </w:rPr>
        <w:t>3.1 Core Market Coefficients and ratios</w:t>
      </w:r>
    </w:p>
    <w:p w14:paraId="145D5D2B" w14:textId="2E9F2A92" w:rsidR="00C314DF" w:rsidRPr="00B96620" w:rsidRDefault="0094659F" w:rsidP="00C314DF">
      <w:pPr>
        <w:rPr>
          <w:rFonts w:asciiTheme="majorHAnsi" w:hAnsiTheme="majorHAnsi" w:cs="Times New Roman"/>
          <w:sz w:val="28"/>
          <w:szCs w:val="28"/>
        </w:rPr>
      </w:pPr>
      <w:r w:rsidRPr="00B96620">
        <w:rPr>
          <w:rFonts w:asciiTheme="majorHAnsi" w:hAnsiTheme="majorHAnsi" w:cs="Times New Roman"/>
          <w:sz w:val="28"/>
          <w:szCs w:val="28"/>
        </w:rPr>
        <w:t>An analysis of market coefficients measures how ONT shares on the London Stock Exchange have performed in the past, as well as their likely future returns and levels of risk.</w:t>
      </w:r>
    </w:p>
    <w:p w14:paraId="16D9BCD4" w14:textId="4EC187C0" w:rsidR="0094659F" w:rsidRPr="00B96620" w:rsidRDefault="0094659F" w:rsidP="00C314DF">
      <w:pPr>
        <w:rPr>
          <w:rFonts w:asciiTheme="majorHAnsi" w:hAnsiTheme="majorHAnsi" w:cs="Times New Roman"/>
          <w:sz w:val="28"/>
          <w:szCs w:val="28"/>
        </w:rPr>
      </w:pPr>
      <w:r w:rsidRPr="00B96620">
        <w:rPr>
          <w:rFonts w:asciiTheme="majorHAnsi" w:hAnsiTheme="majorHAnsi" w:cs="Times New Roman"/>
          <w:noProof/>
          <w:sz w:val="28"/>
          <w:szCs w:val="28"/>
        </w:rPr>
        <w:drawing>
          <wp:inline distT="0" distB="0" distL="0" distR="0" wp14:anchorId="7181A198" wp14:editId="1521440D">
            <wp:extent cx="5134692" cy="895475"/>
            <wp:effectExtent l="0" t="0" r="8890" b="0"/>
            <wp:docPr id="149003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39855" name=""/>
                    <pic:cNvPicPr/>
                  </pic:nvPicPr>
                  <pic:blipFill>
                    <a:blip r:embed="rId14"/>
                    <a:stretch>
                      <a:fillRect/>
                    </a:stretch>
                  </pic:blipFill>
                  <pic:spPr>
                    <a:xfrm>
                      <a:off x="0" y="0"/>
                      <a:ext cx="5134692" cy="895475"/>
                    </a:xfrm>
                    <a:prstGeom prst="rect">
                      <a:avLst/>
                    </a:prstGeom>
                  </pic:spPr>
                </pic:pic>
              </a:graphicData>
            </a:graphic>
          </wp:inline>
        </w:drawing>
      </w:r>
    </w:p>
    <w:p w14:paraId="6C14DD23" w14:textId="57C43CDE" w:rsidR="0094659F" w:rsidRPr="00B96620" w:rsidRDefault="0094659F" w:rsidP="0094659F">
      <w:pPr>
        <w:jc w:val="center"/>
        <w:rPr>
          <w:rFonts w:asciiTheme="majorHAnsi" w:hAnsiTheme="majorHAnsi" w:cs="Times New Roman"/>
          <w:i/>
          <w:iCs/>
        </w:rPr>
      </w:pPr>
      <w:r w:rsidRPr="00B96620">
        <w:rPr>
          <w:rFonts w:asciiTheme="majorHAnsi" w:hAnsiTheme="majorHAnsi" w:cs="Times New Roman"/>
          <w:i/>
          <w:iCs/>
        </w:rPr>
        <w:t>Table 2: Key Market Coefficients and Performance Metrics for ONT Shares.</w:t>
      </w:r>
    </w:p>
    <w:p w14:paraId="7DB0AFF5" w14:textId="21286F99" w:rsidR="0094659F" w:rsidRPr="00B96620" w:rsidRDefault="0094659F" w:rsidP="00C314DF">
      <w:pPr>
        <w:rPr>
          <w:rFonts w:asciiTheme="majorHAnsi" w:hAnsiTheme="majorHAnsi" w:cs="Times New Roman"/>
          <w:sz w:val="28"/>
          <w:szCs w:val="28"/>
        </w:rPr>
      </w:pPr>
      <w:r w:rsidRPr="00B96620">
        <w:rPr>
          <w:rFonts w:asciiTheme="majorHAnsi" w:hAnsiTheme="majorHAnsi" w:cs="Times New Roman"/>
          <w:sz w:val="28"/>
          <w:szCs w:val="28"/>
        </w:rPr>
        <w:t xml:space="preserve">ONT faced a significant decrease in market value during this period, recording substantial negative annual returns of -100.69% in 2022 and -45.95% in 2024. This sharp decline in price was largely due to a general shift in the economy away from unprofitable growth stocks, a change triggered by increasing interest rates from central banks </w:t>
      </w:r>
      <w:r w:rsidRPr="00B96620">
        <w:rPr>
          <w:rFonts w:asciiTheme="majorHAnsi" w:hAnsiTheme="majorHAnsi" w:cs="Times New Roman"/>
          <w:sz w:val="28"/>
          <w:szCs w:val="28"/>
        </w:rPr>
        <w:fldChar w:fldCharType="begin"/>
      </w:r>
      <w:r w:rsidRPr="00B96620">
        <w:rPr>
          <w:rFonts w:asciiTheme="majorHAnsi" w:hAnsiTheme="majorHAnsi" w:cs="Times New Roman"/>
          <w:sz w:val="28"/>
          <w:szCs w:val="28"/>
        </w:rPr>
        <w:instrText xml:space="preserve"> ADDIN ZOTERO_ITEM CSL_CITATION {"citationID":"cM1nTHnX","properties":{"formattedCitation":"(IP Group PLC, 2024)","plainCitation":"(IP Group PLC, 2024)","noteIndex":0},"citationItems":[{"id":28,"uris":["http://zotero.org/users/local/R5xVNRvV/items/MNKNQN5I"],"itemData":{"id":28,"type":"webpage","abstract":"Oxford Nanopore Technologies plc - FY23 trading update","language":"en","title":"Oxford Nanopore Technologies plc - FY23 trading update","URL":"https://www.ipgroupplc.com/news-and-events/portfolio-news/2024/2024-01-09","author":[{"literal":"IP Group PLC"}],"accessed":{"date-parts":[["2026",3,5]]},"issued":{"date-parts":[["2024",1,9]]}}}],"schema":"https://github.com/citation-style-language/schema/raw/master/csl-citation.json"} </w:instrText>
      </w:r>
      <w:r w:rsidRPr="00B96620">
        <w:rPr>
          <w:rFonts w:asciiTheme="majorHAnsi" w:hAnsiTheme="majorHAnsi" w:cs="Times New Roman"/>
          <w:sz w:val="28"/>
          <w:szCs w:val="28"/>
        </w:rPr>
        <w:fldChar w:fldCharType="separate"/>
      </w:r>
      <w:r w:rsidRPr="00B96620">
        <w:rPr>
          <w:rFonts w:asciiTheme="majorHAnsi" w:hAnsiTheme="majorHAnsi" w:cs="Times New Roman"/>
          <w:sz w:val="28"/>
        </w:rPr>
        <w:t>(IP Group PLC, 2024)</w:t>
      </w:r>
      <w:r w:rsidRPr="00B96620">
        <w:rPr>
          <w:rFonts w:asciiTheme="majorHAnsi" w:hAnsiTheme="majorHAnsi" w:cs="Times New Roman"/>
          <w:sz w:val="28"/>
          <w:szCs w:val="28"/>
        </w:rPr>
        <w:fldChar w:fldCharType="end"/>
      </w:r>
      <w:r w:rsidRPr="00B96620">
        <w:rPr>
          <w:rFonts w:asciiTheme="majorHAnsi" w:hAnsiTheme="majorHAnsi" w:cs="Times New Roman"/>
          <w:sz w:val="28"/>
          <w:szCs w:val="28"/>
        </w:rPr>
        <w:t xml:space="preserve">. The stock also exhibits extreme volatility, peaking at 63.82% in 2022 and remaining elevated at 57.66% in 2024. </w:t>
      </w:r>
    </w:p>
    <w:p w14:paraId="6407F18C" w14:textId="2E4DCCD2" w:rsidR="00170FEF" w:rsidRPr="00B96620" w:rsidRDefault="0094659F" w:rsidP="00170FEF">
      <w:pPr>
        <w:rPr>
          <w:rFonts w:asciiTheme="majorHAnsi" w:hAnsiTheme="majorHAnsi" w:cs="Times New Roman"/>
          <w:sz w:val="28"/>
          <w:szCs w:val="28"/>
        </w:rPr>
      </w:pPr>
      <w:r w:rsidRPr="00B96620">
        <w:rPr>
          <w:rFonts w:asciiTheme="majorHAnsi" w:hAnsiTheme="majorHAnsi" w:cs="Times New Roman"/>
          <w:sz w:val="28"/>
          <w:szCs w:val="28"/>
        </w:rPr>
        <w:t>Regarding its risk profile, ONT has a 3-year Beta of 1.40, which suggests the stock is 40% more volatile than the wider market. As a "high-beta" asset, ONT is particularly sensitive to changes in general market confidence. Additionally, the Price-to-Earnings (P/E) ratio remained in negative territory, moving from -22.31 in 2022 to -7.91 in 2024. Since a negative P/E ratio is the result of a company failing to generate profit, the fact that this figure is moving closer to zero indicates a rapid fall in the stock price rather than any actual growth in earnings</w:t>
      </w:r>
      <w:r w:rsidR="00A9262B" w:rsidRPr="00B96620">
        <w:rPr>
          <w:rFonts w:asciiTheme="majorHAnsi" w:hAnsiTheme="majorHAnsi" w:cs="Times New Roman"/>
          <w:sz w:val="28"/>
          <w:szCs w:val="28"/>
        </w:rPr>
        <w:t xml:space="preserve"> </w:t>
      </w:r>
      <w:r w:rsidR="00A9262B" w:rsidRPr="00B96620">
        <w:rPr>
          <w:rFonts w:asciiTheme="majorHAnsi" w:hAnsiTheme="majorHAnsi" w:cs="Times New Roman"/>
          <w:sz w:val="28"/>
          <w:szCs w:val="28"/>
        </w:rPr>
        <w:fldChar w:fldCharType="begin"/>
      </w:r>
      <w:r w:rsidR="00A9262B" w:rsidRPr="00B96620">
        <w:rPr>
          <w:rFonts w:asciiTheme="majorHAnsi" w:hAnsiTheme="majorHAnsi" w:cs="Times New Roman"/>
          <w:sz w:val="28"/>
          <w:szCs w:val="28"/>
        </w:rPr>
        <w:instrText xml:space="preserve"> ADDIN ZOTERO_ITEM CSL_CITATION {"citationID":"kfoBuRph","properties":{"formattedCitation":"(Alliance News, 2025)","plainCitation":"(Alliance News, 2025)","noteIndex":0},"citationItems":[{"id":30,"uris":["http://zotero.org/users/local/R5xVNRvV/items/AYQD3GG8"],"itemData":{"id":30,"type":"webpage","title":"Oxford Nanopore closer to profitability after revenue growth in 2024 | AJ Bell","URL":"https://www.ajbell.co.uk/news/articles/oxford-nanopore-closer-profitability-after-revenue-growth-2024","author":[{"literal":"Alliance News"}],"accessed":{"date-parts":[["2026",3,5]]},"issued":{"date-parts":[["2025",3,4]]}}}],"schema":"https://github.com/citation-style-language/schema/raw/master/csl-citation.json"} </w:instrText>
      </w:r>
      <w:r w:rsidR="00A9262B" w:rsidRPr="00B96620">
        <w:rPr>
          <w:rFonts w:asciiTheme="majorHAnsi" w:hAnsiTheme="majorHAnsi" w:cs="Times New Roman"/>
          <w:sz w:val="28"/>
          <w:szCs w:val="28"/>
        </w:rPr>
        <w:fldChar w:fldCharType="separate"/>
      </w:r>
      <w:r w:rsidR="00A9262B" w:rsidRPr="00B96620">
        <w:rPr>
          <w:rFonts w:asciiTheme="majorHAnsi" w:hAnsiTheme="majorHAnsi" w:cs="Times New Roman"/>
          <w:sz w:val="28"/>
        </w:rPr>
        <w:t>(Alliance News, 2025)</w:t>
      </w:r>
      <w:r w:rsidR="00A9262B" w:rsidRPr="00B96620">
        <w:rPr>
          <w:rFonts w:asciiTheme="majorHAnsi" w:hAnsiTheme="majorHAnsi" w:cs="Times New Roman"/>
          <w:sz w:val="28"/>
          <w:szCs w:val="28"/>
        </w:rPr>
        <w:fldChar w:fldCharType="end"/>
      </w:r>
      <w:r w:rsidRPr="00B96620">
        <w:rPr>
          <w:rFonts w:asciiTheme="majorHAnsi" w:hAnsiTheme="majorHAnsi" w:cs="Times New Roman"/>
          <w:sz w:val="28"/>
          <w:szCs w:val="28"/>
        </w:rPr>
        <w:t>.</w:t>
      </w:r>
    </w:p>
    <w:p w14:paraId="0D9B5311" w14:textId="77777777" w:rsidR="00A9262B" w:rsidRPr="00B96620" w:rsidRDefault="00A9262B" w:rsidP="00170FEF">
      <w:pPr>
        <w:rPr>
          <w:rFonts w:asciiTheme="majorHAnsi" w:hAnsiTheme="majorHAnsi" w:cs="Times New Roman"/>
          <w:sz w:val="28"/>
          <w:szCs w:val="28"/>
        </w:rPr>
      </w:pPr>
    </w:p>
    <w:p w14:paraId="0A7055AE" w14:textId="6CB481D7" w:rsidR="00CD3CA6" w:rsidRPr="00B96620" w:rsidRDefault="00CD3CA6" w:rsidP="00CD3CA6">
      <w:pPr>
        <w:pStyle w:val="Heading3"/>
        <w:rPr>
          <w:rFonts w:asciiTheme="majorHAnsi" w:hAnsiTheme="majorHAnsi" w:cs="Times New Roman"/>
        </w:rPr>
      </w:pPr>
      <w:r w:rsidRPr="00B96620">
        <w:rPr>
          <w:rFonts w:asciiTheme="majorHAnsi" w:hAnsiTheme="majorHAnsi" w:cs="Times New Roman"/>
        </w:rPr>
        <w:lastRenderedPageBreak/>
        <w:t>3.2 Market performance comparison to sector</w:t>
      </w:r>
    </w:p>
    <w:p w14:paraId="6E8CB260" w14:textId="20E121CC" w:rsidR="00AD7E63" w:rsidRPr="00B96620" w:rsidRDefault="00A9262B" w:rsidP="00AD7E63">
      <w:pPr>
        <w:rPr>
          <w:rFonts w:asciiTheme="majorHAnsi" w:hAnsiTheme="majorHAnsi" w:cs="Times New Roman"/>
          <w:color w:val="0070C0"/>
          <w:sz w:val="28"/>
          <w:szCs w:val="28"/>
        </w:rPr>
      </w:pPr>
      <w:r w:rsidRPr="00B96620">
        <w:rPr>
          <w:rFonts w:asciiTheme="majorHAnsi" w:hAnsiTheme="majorHAnsi" w:cs="Times New Roman"/>
          <w:noProof/>
          <w:color w:val="0070C0"/>
          <w:sz w:val="28"/>
          <w:szCs w:val="28"/>
        </w:rPr>
        <w:drawing>
          <wp:inline distT="0" distB="0" distL="0" distR="0" wp14:anchorId="77DA4C2C" wp14:editId="6563A082">
            <wp:extent cx="5661965" cy="3009900"/>
            <wp:effectExtent l="0" t="0" r="0" b="0"/>
            <wp:docPr id="109111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15347" name=""/>
                    <pic:cNvPicPr/>
                  </pic:nvPicPr>
                  <pic:blipFill>
                    <a:blip r:embed="rId15"/>
                    <a:stretch>
                      <a:fillRect/>
                    </a:stretch>
                  </pic:blipFill>
                  <pic:spPr>
                    <a:xfrm>
                      <a:off x="0" y="0"/>
                      <a:ext cx="5667048" cy="3012602"/>
                    </a:xfrm>
                    <a:prstGeom prst="rect">
                      <a:avLst/>
                    </a:prstGeom>
                  </pic:spPr>
                </pic:pic>
              </a:graphicData>
            </a:graphic>
          </wp:inline>
        </w:drawing>
      </w:r>
    </w:p>
    <w:p w14:paraId="56A2BC54" w14:textId="730DB06A" w:rsidR="00A9262B" w:rsidRPr="00B96620" w:rsidRDefault="00A9262B" w:rsidP="00A9262B">
      <w:pPr>
        <w:jc w:val="center"/>
        <w:rPr>
          <w:rFonts w:asciiTheme="majorHAnsi" w:hAnsiTheme="majorHAnsi" w:cs="Times New Roman"/>
          <w:i/>
          <w:iCs/>
        </w:rPr>
      </w:pPr>
      <w:r w:rsidRPr="00B96620">
        <w:rPr>
          <w:rFonts w:asciiTheme="majorHAnsi" w:hAnsiTheme="majorHAnsi" w:cs="Times New Roman"/>
          <w:i/>
          <w:iCs/>
        </w:rPr>
        <w:t>Figure 5: Comparative Annual Returns Trend: ONT, GNS, and FTSE-350.</w:t>
      </w:r>
    </w:p>
    <w:p w14:paraId="3B48FEDD" w14:textId="02340E86" w:rsidR="00581D0E" w:rsidRPr="00B96620" w:rsidRDefault="00581D0E" w:rsidP="00A9262B">
      <w:pPr>
        <w:jc w:val="center"/>
        <w:rPr>
          <w:rFonts w:asciiTheme="majorHAnsi" w:hAnsiTheme="majorHAnsi" w:cs="Times New Roman"/>
          <w:i/>
          <w:iCs/>
        </w:rPr>
      </w:pPr>
    </w:p>
    <w:p w14:paraId="08023579" w14:textId="69EE1070" w:rsidR="00581D0E" w:rsidRPr="00B96620" w:rsidRDefault="00581D0E" w:rsidP="00A9262B">
      <w:pPr>
        <w:jc w:val="center"/>
        <w:rPr>
          <w:rFonts w:asciiTheme="majorHAnsi" w:hAnsiTheme="majorHAnsi" w:cs="Times New Roman"/>
          <w:i/>
          <w:iCs/>
        </w:rPr>
      </w:pPr>
      <w:r w:rsidRPr="00B96620">
        <w:rPr>
          <w:rFonts w:asciiTheme="majorHAnsi" w:hAnsiTheme="majorHAnsi" w:cs="Times New Roman"/>
          <w:i/>
          <w:iCs/>
        </w:rPr>
        <w:t>Figure 6: Comparative Annual Volatility Trend: ONT, GNS, and FTSE-350.</w:t>
      </w:r>
    </w:p>
    <w:p w14:paraId="7F1B5553" w14:textId="7DAFA5F2" w:rsidR="00581D0E" w:rsidRPr="00B96620" w:rsidRDefault="00581D0E" w:rsidP="00581D0E">
      <w:pPr>
        <w:rPr>
          <w:rFonts w:asciiTheme="majorHAnsi" w:hAnsiTheme="majorHAnsi" w:cs="Times New Roman"/>
          <w:sz w:val="28"/>
          <w:szCs w:val="28"/>
        </w:rPr>
      </w:pPr>
      <w:r w:rsidRPr="00B96620">
        <w:rPr>
          <w:rFonts w:asciiTheme="majorHAnsi" w:hAnsiTheme="majorHAnsi" w:cs="Times New Roman"/>
          <w:sz w:val="28"/>
          <w:szCs w:val="28"/>
        </w:rPr>
        <w:t xml:space="preserve">Between 2022 and 2024, both ONT and GNS experienced significant financial instability and poor outcomes when compared to the broader market benchmark, the FTSE-350 Index. Specifically, ONT recorded the most dramatic fluctuations and worst performance, with annual losses plummeting to -100.69% in 2022, supported by extreme volatility ranging between 63.82% in 2022 and 57.66% in 2024. Similarly, GNS demonstrated a continuous level of instability, maintaining consistently negative returns that fluctuated between –48.82% and -32.36% over the period. </w:t>
      </w:r>
    </w:p>
    <w:p w14:paraId="1CF5AB1B" w14:textId="2277736B" w:rsidR="00CD3CA6" w:rsidRPr="00B96620" w:rsidRDefault="00CD3CA6" w:rsidP="00CD3CA6">
      <w:pPr>
        <w:pStyle w:val="Heading2"/>
        <w:rPr>
          <w:rFonts w:cs="Times New Roman"/>
          <w:sz w:val="28"/>
          <w:szCs w:val="28"/>
        </w:rPr>
      </w:pPr>
      <w:r w:rsidRPr="00B96620">
        <w:rPr>
          <w:rFonts w:cs="Times New Roman"/>
          <w:sz w:val="28"/>
          <w:szCs w:val="28"/>
        </w:rPr>
        <w:t>4 Conclusion</w:t>
      </w:r>
    </w:p>
    <w:p w14:paraId="46DD6B16" w14:textId="18C52820" w:rsidR="00CD3CA6" w:rsidRPr="00B96620" w:rsidRDefault="00CD3CA6" w:rsidP="00CD3CA6">
      <w:pPr>
        <w:pStyle w:val="Heading3"/>
        <w:rPr>
          <w:rFonts w:asciiTheme="majorHAnsi" w:hAnsiTheme="majorHAnsi" w:cs="Times New Roman"/>
        </w:rPr>
      </w:pPr>
      <w:r w:rsidRPr="00B96620">
        <w:rPr>
          <w:rFonts w:asciiTheme="majorHAnsi" w:hAnsiTheme="majorHAnsi" w:cs="Times New Roman"/>
        </w:rPr>
        <w:t>4.1 Conclusion and Recommendation</w:t>
      </w:r>
    </w:p>
    <w:p w14:paraId="1DE2E83B" w14:textId="2659E08B" w:rsidR="00CF3347" w:rsidRPr="00B96620" w:rsidRDefault="00045F80">
      <w:pPr>
        <w:rPr>
          <w:rFonts w:asciiTheme="majorHAnsi" w:hAnsiTheme="majorHAnsi" w:cs="Times New Roman"/>
          <w:sz w:val="28"/>
          <w:szCs w:val="28"/>
        </w:rPr>
      </w:pPr>
      <w:r w:rsidRPr="00B96620">
        <w:rPr>
          <w:rFonts w:asciiTheme="majorHAnsi" w:hAnsiTheme="majorHAnsi" w:cs="Times New Roman"/>
          <w:sz w:val="28"/>
          <w:szCs w:val="28"/>
        </w:rPr>
        <w:t xml:space="preserve">An analysis of Oxford Nanopore Technologies PLC (ONT) shows that the company is currently experiencing what is known as a "J-curve" growth pattern </w:t>
      </w:r>
      <w:r w:rsidRPr="00B96620">
        <w:rPr>
          <w:rFonts w:asciiTheme="majorHAnsi" w:hAnsiTheme="majorHAnsi" w:cs="Times New Roman"/>
          <w:sz w:val="28"/>
          <w:szCs w:val="28"/>
        </w:rPr>
        <w:fldChar w:fldCharType="begin"/>
      </w:r>
      <w:r w:rsidRPr="00B96620">
        <w:rPr>
          <w:rFonts w:asciiTheme="majorHAnsi" w:hAnsiTheme="majorHAnsi" w:cs="Times New Roman"/>
          <w:sz w:val="28"/>
          <w:szCs w:val="28"/>
        </w:rPr>
        <w:instrText xml:space="preserve"> ADDIN ZOTERO_ITEM CSL_CITATION {"citationID":"ohbMM05H","properties":{"formattedCitation":"(Kenton, W, 2025)","plainCitation":"(Kenton, W, 2025)","noteIndex":0},"citationItems":[{"id":34,"uris":["http://zotero.org/users/local/R5xVNRvV/items/T692FN7J"],"itemData":{"id":34,"type":"webpage","abstract":"A J-curve is a trendline that shows an initial loss immediately followed by a sharp gain. In a chart, this pattern of activity would have the shape of a capital \"J\".","container-title":"Investopedia","language":"en","title":"J Curve: Definition and Uses in Economics and Private Equity","title-short":"J Curve","URL":"https://www.investopedia.com/terms/j/j-curve-effect.asp","author":[{"literal":"Kenton, W"}],"accessed":{"date-parts":[["2026",3,5]]},"issued":{"date-parts":[["2025",1,31]]}}}],"schema":"https://github.com/citation-style-language/schema/raw/master/csl-citation.json"} </w:instrText>
      </w:r>
      <w:r w:rsidRPr="00B96620">
        <w:rPr>
          <w:rFonts w:asciiTheme="majorHAnsi" w:hAnsiTheme="majorHAnsi" w:cs="Times New Roman"/>
          <w:sz w:val="28"/>
          <w:szCs w:val="28"/>
        </w:rPr>
        <w:fldChar w:fldCharType="separate"/>
      </w:r>
      <w:r w:rsidRPr="00B96620">
        <w:rPr>
          <w:rFonts w:asciiTheme="majorHAnsi" w:hAnsiTheme="majorHAnsi" w:cs="Times New Roman"/>
          <w:sz w:val="28"/>
        </w:rPr>
        <w:t>(Kenton, 2025)</w:t>
      </w:r>
      <w:r w:rsidRPr="00B96620">
        <w:rPr>
          <w:rFonts w:asciiTheme="majorHAnsi" w:hAnsiTheme="majorHAnsi" w:cs="Times New Roman"/>
          <w:sz w:val="28"/>
          <w:szCs w:val="28"/>
        </w:rPr>
        <w:fldChar w:fldCharType="end"/>
      </w:r>
      <w:r w:rsidRPr="00B96620">
        <w:rPr>
          <w:rFonts w:asciiTheme="majorHAnsi" w:hAnsiTheme="majorHAnsi" w:cs="Times New Roman"/>
          <w:sz w:val="28"/>
          <w:szCs w:val="28"/>
        </w:rPr>
        <w:t xml:space="preserve">. From a financial perspective, the company is not making a profit, with its operating margins falling to -83.16% in 2024. However, this lack of profitability is an expected consequence of its rapid business expansion. Despite these short-term financial losses, the core business remains highly resilient, as demonstrated by a 23% increase in revenue in 2024, alongside growing success in both medical and industrial markets </w:t>
      </w:r>
      <w:r w:rsidRPr="00B96620">
        <w:rPr>
          <w:rFonts w:asciiTheme="majorHAnsi" w:hAnsiTheme="majorHAnsi" w:cs="Times New Roman"/>
          <w:sz w:val="28"/>
          <w:szCs w:val="28"/>
        </w:rPr>
        <w:fldChar w:fldCharType="begin"/>
      </w:r>
      <w:r w:rsidRPr="00B96620">
        <w:rPr>
          <w:rFonts w:asciiTheme="majorHAnsi" w:hAnsiTheme="majorHAnsi" w:cs="Times New Roman"/>
          <w:sz w:val="28"/>
          <w:szCs w:val="28"/>
        </w:rPr>
        <w:instrText xml:space="preserve"> ADDIN ZOTERO_ITEM CSL_CITATION {"citationID":"ymEZI1V9","properties":{"formattedCitation":"(Oxford Nanopore Technologies, 2025a)","plainCitation":"(Oxford Nanopore Technologies, 2025a)","noteIndex":0},"citationItems":[{"id":24,"uris":["http://zotero.org/users/local/R5xVNRvV/items/YJVQEBNF"],"itemData":{"id":24,"type":"webpage","abstract":"News article - Regulatory News Service","language":"en","title":"News article","URL":"https://www.londonstockexchange.com/news-article/ONT/annual-results-for-the-year-ended-31-december-2024/about:blank","author":[{"literal":"Oxford Nanopore Technologies"}],"accessed":{"date-parts":[["2026",3,4]]},"issued":{"date-parts":[["2025",3,4]]}}}],"schema":"https://github.com/citation-style-language/schema/raw/master/csl-citation.json"} </w:instrText>
      </w:r>
      <w:r w:rsidRPr="00B96620">
        <w:rPr>
          <w:rFonts w:asciiTheme="majorHAnsi" w:hAnsiTheme="majorHAnsi" w:cs="Times New Roman"/>
          <w:sz w:val="28"/>
          <w:szCs w:val="28"/>
        </w:rPr>
        <w:fldChar w:fldCharType="separate"/>
      </w:r>
      <w:r w:rsidRPr="00B96620">
        <w:rPr>
          <w:rFonts w:asciiTheme="majorHAnsi" w:hAnsiTheme="majorHAnsi" w:cs="Times New Roman"/>
          <w:sz w:val="28"/>
        </w:rPr>
        <w:t>(Oxford Nanopore Technologies, 2025a)</w:t>
      </w:r>
      <w:r w:rsidRPr="00B96620">
        <w:rPr>
          <w:rFonts w:asciiTheme="majorHAnsi" w:hAnsiTheme="majorHAnsi" w:cs="Times New Roman"/>
          <w:sz w:val="28"/>
          <w:szCs w:val="28"/>
        </w:rPr>
        <w:fldChar w:fldCharType="end"/>
      </w:r>
      <w:r w:rsidRPr="00B96620">
        <w:rPr>
          <w:rFonts w:asciiTheme="majorHAnsi" w:hAnsiTheme="majorHAnsi" w:cs="Times New Roman"/>
          <w:sz w:val="28"/>
          <w:szCs w:val="28"/>
        </w:rPr>
        <w:t xml:space="preserve">. </w:t>
      </w:r>
      <w:r w:rsidR="00CF3347" w:rsidRPr="00B96620">
        <w:rPr>
          <w:rFonts w:asciiTheme="majorHAnsi" w:hAnsiTheme="majorHAnsi" w:cs="Times New Roman"/>
          <w:sz w:val="28"/>
          <w:szCs w:val="28"/>
        </w:rPr>
        <w:lastRenderedPageBreak/>
        <w:t xml:space="preserve">Most importantly, ONT has very low debt levels and is strongly supported by Novo Holdings </w:t>
      </w:r>
      <w:r w:rsidR="00CF3347" w:rsidRPr="00B96620">
        <w:rPr>
          <w:rFonts w:asciiTheme="majorHAnsi" w:hAnsiTheme="majorHAnsi" w:cs="Times New Roman"/>
          <w:sz w:val="28"/>
          <w:szCs w:val="28"/>
        </w:rPr>
        <w:fldChar w:fldCharType="begin"/>
      </w:r>
      <w:r w:rsidR="00CF3347" w:rsidRPr="00B96620">
        <w:rPr>
          <w:rFonts w:asciiTheme="majorHAnsi" w:hAnsiTheme="majorHAnsi" w:cs="Times New Roman"/>
          <w:sz w:val="28"/>
          <w:szCs w:val="28"/>
        </w:rPr>
        <w:instrText xml:space="preserve"> ADDIN ZOTERO_ITEM CSL_CITATION {"citationID":"30lYXmTk","properties":{"formattedCitation":"(Novo Holdings, 2024)","plainCitation":"(Novo Holdings, 2024)","noteIndex":0},"citationItems":[{"id":10,"uris":["http://zotero.org/users/local/R5xVNRvV/items/AAEMA2UQ"],"itemData":{"id":10,"type":"webpage","abstract":"/PRNewswire/ -- Novo Holdings, a leading international life science investor, today announced a £50m investment in Oxford Nanopore Technologies ('Oxford...","language":"en","title":"Novo Holdings Invests in UK-Listed Oxford Nanopore Technologies","URL":"https://www.prnewswire.com/news-releases/novo-holdings-invests-in-uk-listed-oxford-nanopore-technologies-302211684.html","author":[{"literal":"Novo Holdings"}],"accessed":{"date-parts":[["2026",2,28]]},"issued":{"date-parts":[["2024",8,1]]}}}],"schema":"https://github.com/citation-style-language/schema/raw/master/csl-citation.json"} </w:instrText>
      </w:r>
      <w:r w:rsidR="00CF3347" w:rsidRPr="00B96620">
        <w:rPr>
          <w:rFonts w:asciiTheme="majorHAnsi" w:hAnsiTheme="majorHAnsi" w:cs="Times New Roman"/>
          <w:sz w:val="28"/>
          <w:szCs w:val="28"/>
        </w:rPr>
        <w:fldChar w:fldCharType="separate"/>
      </w:r>
      <w:r w:rsidR="00CF3347" w:rsidRPr="00B96620">
        <w:rPr>
          <w:rFonts w:asciiTheme="majorHAnsi" w:hAnsiTheme="majorHAnsi" w:cs="Times New Roman"/>
          <w:sz w:val="28"/>
        </w:rPr>
        <w:t>(Novo Holdings, 2024)</w:t>
      </w:r>
      <w:r w:rsidR="00CF3347" w:rsidRPr="00B96620">
        <w:rPr>
          <w:rFonts w:asciiTheme="majorHAnsi" w:hAnsiTheme="majorHAnsi" w:cs="Times New Roman"/>
          <w:sz w:val="28"/>
          <w:szCs w:val="28"/>
        </w:rPr>
        <w:fldChar w:fldCharType="end"/>
      </w:r>
      <w:r w:rsidR="00CF3347" w:rsidRPr="00B96620">
        <w:rPr>
          <w:rFonts w:asciiTheme="majorHAnsi" w:hAnsiTheme="majorHAnsi" w:cs="Times New Roman"/>
          <w:sz w:val="28"/>
          <w:szCs w:val="28"/>
        </w:rPr>
        <w:t>. This strong financial foundation protects the company from the severe debt problems currently affecting competitors, such as Genus PLC.</w:t>
      </w:r>
      <w:r w:rsidRPr="00B96620">
        <w:rPr>
          <w:rFonts w:asciiTheme="majorHAnsi" w:hAnsiTheme="majorHAnsi" w:cs="Times New Roman"/>
          <w:sz w:val="28"/>
          <w:szCs w:val="28"/>
        </w:rPr>
        <w:t xml:space="preserve"> </w:t>
      </w:r>
    </w:p>
    <w:p w14:paraId="64CD51D5" w14:textId="3DCF5958" w:rsidR="000820F6" w:rsidRPr="00B96620" w:rsidRDefault="00CF3347">
      <w:pPr>
        <w:rPr>
          <w:rFonts w:asciiTheme="majorHAnsi" w:hAnsiTheme="majorHAnsi" w:cs="Times New Roman"/>
          <w:sz w:val="28"/>
          <w:szCs w:val="28"/>
        </w:rPr>
      </w:pPr>
      <w:r w:rsidRPr="00B96620">
        <w:rPr>
          <w:rFonts w:asciiTheme="majorHAnsi" w:hAnsiTheme="majorHAnsi" w:cs="Times New Roman"/>
          <w:sz w:val="28"/>
          <w:szCs w:val="28"/>
        </w:rPr>
        <w:t>For an investor who can accept a higher level of risk and has a long-term strategy, ONT would be an attractive investment. Its excellent financial health ensures the company will continue to operate, while its growing sales and strategy suggest the stock’s value is likely to increase significantly once broader economic conditions improve.</w:t>
      </w:r>
      <w:r w:rsidR="000820F6" w:rsidRPr="00B96620">
        <w:rPr>
          <w:rFonts w:asciiTheme="majorHAnsi" w:hAnsiTheme="majorHAnsi" w:cs="Times New Roman"/>
          <w:sz w:val="28"/>
          <w:szCs w:val="28"/>
        </w:rPr>
        <w:br w:type="page"/>
      </w:r>
    </w:p>
    <w:p w14:paraId="437B4040" w14:textId="170D1D9E" w:rsidR="00CD5C65" w:rsidRDefault="00CD3CA6" w:rsidP="00CD3CA6">
      <w:pPr>
        <w:pStyle w:val="Heading2"/>
        <w:rPr>
          <w:rFonts w:cs="Times New Roman"/>
          <w:sz w:val="28"/>
          <w:szCs w:val="28"/>
        </w:rPr>
      </w:pPr>
      <w:r w:rsidRPr="00B96620">
        <w:rPr>
          <w:rFonts w:cs="Times New Roman"/>
          <w:sz w:val="28"/>
          <w:szCs w:val="28"/>
        </w:rPr>
        <w:lastRenderedPageBreak/>
        <w:t>5 Appendix</w:t>
      </w:r>
    </w:p>
    <w:p w14:paraId="6D35F8DB" w14:textId="105A33FE" w:rsidR="00CD5C65" w:rsidRDefault="00915181">
      <w:pPr>
        <w:rPr>
          <w:rFonts w:asciiTheme="majorHAnsi" w:eastAsiaTheme="majorEastAsia" w:hAnsiTheme="majorHAnsi" w:cs="Times New Roman"/>
          <w:color w:val="0F4761" w:themeColor="accent1" w:themeShade="BF"/>
          <w:sz w:val="28"/>
          <w:szCs w:val="28"/>
        </w:rPr>
      </w:pPr>
      <w:r>
        <w:rPr>
          <w:rFonts w:cs="Times New Roman"/>
          <w:noProof/>
          <w:sz w:val="28"/>
          <w:szCs w:val="28"/>
        </w:rPr>
        <w:drawing>
          <wp:inline distT="0" distB="0" distL="0" distR="0" wp14:anchorId="6F89450D" wp14:editId="4E2A6C67">
            <wp:extent cx="5731510" cy="8107045"/>
            <wp:effectExtent l="0" t="0" r="2540" b="8255"/>
            <wp:docPr id="1098501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01274" name="Picture 109850127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8107045"/>
                    </a:xfrm>
                    <a:prstGeom prst="rect">
                      <a:avLst/>
                    </a:prstGeom>
                  </pic:spPr>
                </pic:pic>
              </a:graphicData>
            </a:graphic>
          </wp:inline>
        </w:drawing>
      </w:r>
      <w:r w:rsidR="00CD5C65">
        <w:rPr>
          <w:rFonts w:cs="Times New Roman"/>
          <w:sz w:val="28"/>
          <w:szCs w:val="28"/>
        </w:rPr>
        <w:br w:type="page"/>
      </w:r>
    </w:p>
    <w:p w14:paraId="1B689AF3" w14:textId="77777777" w:rsidR="00CD3CA6" w:rsidRPr="00B96620" w:rsidRDefault="00CD3CA6" w:rsidP="00CD3CA6">
      <w:pPr>
        <w:pStyle w:val="Heading2"/>
        <w:rPr>
          <w:rFonts w:cs="Times New Roman"/>
          <w:sz w:val="28"/>
          <w:szCs w:val="28"/>
        </w:rPr>
      </w:pPr>
    </w:p>
    <w:p w14:paraId="30A8DA98" w14:textId="3C69F92B" w:rsidR="00EA1C26" w:rsidRPr="00B96620" w:rsidRDefault="00EA1C26" w:rsidP="00EA1C26">
      <w:pPr>
        <w:rPr>
          <w:rFonts w:asciiTheme="majorHAnsi" w:hAnsiTheme="majorHAnsi" w:cs="Times New Roman"/>
          <w:b/>
          <w:bCs/>
          <w:sz w:val="28"/>
          <w:szCs w:val="28"/>
        </w:rPr>
      </w:pPr>
    </w:p>
    <w:p w14:paraId="419CA75F" w14:textId="26470D98" w:rsidR="00B96620" w:rsidRPr="00B96620" w:rsidRDefault="00B96620">
      <w:pPr>
        <w:rPr>
          <w:rFonts w:asciiTheme="majorHAnsi" w:hAnsiTheme="majorHAnsi" w:cs="Times New Roman"/>
          <w:b/>
          <w:bCs/>
          <w:i/>
          <w:iCs/>
          <w:sz w:val="28"/>
          <w:szCs w:val="28"/>
        </w:rPr>
      </w:pPr>
    </w:p>
    <w:p w14:paraId="3CBE995D" w14:textId="77777777" w:rsidR="00EA1C26" w:rsidRPr="00B96620" w:rsidRDefault="00EA1C26" w:rsidP="00EA1C26">
      <w:pPr>
        <w:rPr>
          <w:rFonts w:asciiTheme="majorHAnsi" w:hAnsiTheme="majorHAnsi" w:cs="Times New Roman"/>
          <w:b/>
          <w:bCs/>
          <w:i/>
          <w:iCs/>
          <w:sz w:val="28"/>
          <w:szCs w:val="28"/>
        </w:rPr>
      </w:pPr>
    </w:p>
    <w:p w14:paraId="57A1B4DE" w14:textId="01700C92" w:rsidR="00BD3F66" w:rsidRPr="00B96620" w:rsidRDefault="00BD3F66" w:rsidP="00BD3F66">
      <w:pPr>
        <w:rPr>
          <w:rFonts w:asciiTheme="majorHAnsi" w:hAnsiTheme="majorHAnsi" w:cs="Times New Roman"/>
          <w:b/>
          <w:bCs/>
          <w:sz w:val="28"/>
          <w:szCs w:val="28"/>
        </w:rPr>
      </w:pPr>
      <w:r w:rsidRPr="00B96620">
        <w:rPr>
          <w:rFonts w:asciiTheme="majorHAnsi" w:hAnsiTheme="majorHAnsi" w:cs="Times New Roman"/>
          <w:b/>
          <w:bCs/>
          <w:sz w:val="28"/>
          <w:szCs w:val="28"/>
        </w:rPr>
        <w:t>Declaration of using Generative AI.</w:t>
      </w:r>
    </w:p>
    <w:p w14:paraId="651C3988" w14:textId="023494FF" w:rsidR="00BD3F66" w:rsidRPr="00B96620" w:rsidRDefault="00BD3F66" w:rsidP="00BD3F66">
      <w:pPr>
        <w:rPr>
          <w:rFonts w:asciiTheme="majorHAnsi" w:hAnsiTheme="majorHAnsi" w:cs="Times New Roman"/>
          <w:sz w:val="28"/>
          <w:szCs w:val="28"/>
        </w:rPr>
      </w:pPr>
      <w:r w:rsidRPr="00B96620">
        <w:rPr>
          <w:rFonts w:asciiTheme="majorHAnsi" w:hAnsiTheme="majorHAnsi" w:cs="Times New Roman"/>
          <w:sz w:val="28"/>
          <w:szCs w:val="28"/>
        </w:rPr>
        <w:t>Generative artificial intelligence (GenAI) was used in the work. I, the author, have reviewed and edited the content as needed and take full responsibility for the content, claims, and references. An overview of the use of GenAI is provided below:</w:t>
      </w:r>
    </w:p>
    <w:p w14:paraId="3709148D" w14:textId="31B6AF6D" w:rsidR="00BD3F66" w:rsidRPr="00B96620" w:rsidRDefault="00BD3F66" w:rsidP="00BD3F66">
      <w:pPr>
        <w:pStyle w:val="ListParagraph"/>
        <w:numPr>
          <w:ilvl w:val="0"/>
          <w:numId w:val="4"/>
        </w:numPr>
        <w:rPr>
          <w:rFonts w:asciiTheme="majorHAnsi" w:hAnsiTheme="majorHAnsi" w:cs="Times New Roman"/>
          <w:sz w:val="28"/>
          <w:szCs w:val="28"/>
        </w:rPr>
      </w:pPr>
      <w:r w:rsidRPr="00B96620">
        <w:rPr>
          <w:rFonts w:asciiTheme="majorHAnsi" w:hAnsiTheme="majorHAnsi" w:cs="Times New Roman"/>
          <w:sz w:val="28"/>
          <w:szCs w:val="28"/>
        </w:rPr>
        <w:t xml:space="preserve">I used </w:t>
      </w:r>
      <w:hyperlink r:id="rId17" w:history="1">
        <w:r w:rsidRPr="00B96620">
          <w:rPr>
            <w:rStyle w:val="Hyperlink"/>
            <w:rFonts w:asciiTheme="majorHAnsi" w:hAnsiTheme="majorHAnsi" w:cs="Times New Roman"/>
            <w:sz w:val="28"/>
            <w:szCs w:val="28"/>
          </w:rPr>
          <w:t>Grammarly</w:t>
        </w:r>
      </w:hyperlink>
      <w:r w:rsidRPr="00B96620">
        <w:rPr>
          <w:rFonts w:asciiTheme="majorHAnsi" w:hAnsiTheme="majorHAnsi" w:cs="Times New Roman"/>
          <w:sz w:val="28"/>
          <w:szCs w:val="28"/>
        </w:rPr>
        <w:t xml:space="preserve"> to check for all grammatical and vocabulary errors, mistakes that occurred during the time I wrote the report. The AI automatically fixes errors/mistakes that happened during my work. The final submission is reviewed and checked by the AI.</w:t>
      </w:r>
    </w:p>
    <w:p w14:paraId="035D2415" w14:textId="3273C410" w:rsidR="00D1777D" w:rsidRPr="00B96620" w:rsidRDefault="00D1777D" w:rsidP="00D1777D">
      <w:pPr>
        <w:pStyle w:val="ListParagraph"/>
        <w:numPr>
          <w:ilvl w:val="0"/>
          <w:numId w:val="4"/>
        </w:numPr>
        <w:rPr>
          <w:rFonts w:asciiTheme="majorHAnsi" w:hAnsiTheme="majorHAnsi" w:cs="Times New Roman"/>
          <w:sz w:val="28"/>
          <w:szCs w:val="28"/>
        </w:rPr>
      </w:pPr>
      <w:r w:rsidRPr="00B96620">
        <w:rPr>
          <w:rFonts w:asciiTheme="majorHAnsi" w:hAnsiTheme="majorHAnsi" w:cs="Times New Roman"/>
          <w:sz w:val="28"/>
          <w:szCs w:val="28"/>
        </w:rPr>
        <w:t xml:space="preserve">I used </w:t>
      </w:r>
      <w:hyperlink r:id="rId18" w:history="1">
        <w:r w:rsidR="00032723" w:rsidRPr="00B96620">
          <w:rPr>
            <w:rStyle w:val="Hyperlink"/>
            <w:rFonts w:asciiTheme="majorHAnsi" w:hAnsiTheme="majorHAnsi" w:cs="Times New Roman"/>
            <w:sz w:val="28"/>
            <w:szCs w:val="28"/>
          </w:rPr>
          <w:t>Gemini</w:t>
        </w:r>
      </w:hyperlink>
      <w:r w:rsidRPr="00B96620">
        <w:rPr>
          <w:rFonts w:asciiTheme="majorHAnsi" w:hAnsiTheme="majorHAnsi" w:cs="Times New Roman"/>
          <w:sz w:val="28"/>
          <w:szCs w:val="28"/>
        </w:rPr>
        <w:t xml:space="preserve"> to help me plan the structure of the report. </w:t>
      </w:r>
      <w:r w:rsidR="00032723" w:rsidRPr="00B96620">
        <w:rPr>
          <w:rFonts w:asciiTheme="majorHAnsi" w:hAnsiTheme="majorHAnsi" w:cs="Times New Roman"/>
          <w:sz w:val="28"/>
          <w:szCs w:val="28"/>
        </w:rPr>
        <w:t xml:space="preserve">The way that I use </w:t>
      </w:r>
      <w:hyperlink r:id="rId19" w:history="1">
        <w:r w:rsidR="00032723" w:rsidRPr="00B96620">
          <w:rPr>
            <w:rStyle w:val="Hyperlink"/>
            <w:rFonts w:asciiTheme="majorHAnsi" w:hAnsiTheme="majorHAnsi" w:cs="Times New Roman"/>
            <w:sz w:val="28"/>
            <w:szCs w:val="28"/>
          </w:rPr>
          <w:t>Gemini</w:t>
        </w:r>
      </w:hyperlink>
      <w:r w:rsidR="00032723" w:rsidRPr="00B96620">
        <w:rPr>
          <w:rFonts w:asciiTheme="majorHAnsi" w:hAnsiTheme="majorHAnsi" w:cs="Times New Roman"/>
          <w:sz w:val="28"/>
          <w:szCs w:val="28"/>
        </w:rPr>
        <w:t xml:space="preserve"> is strictly for reference. I requested the AI to generate a template to better understand the methodology and structural requirements of this report. I did not replicate the AI's output, as its content differs significantly from my work; rather, I used it solely as a guide for formatting and approach.</w:t>
      </w:r>
      <w:r w:rsidR="002C3426" w:rsidRPr="00B96620">
        <w:rPr>
          <w:rFonts w:asciiTheme="majorHAnsi" w:hAnsiTheme="majorHAnsi" w:cs="Times New Roman"/>
          <w:sz w:val="28"/>
          <w:szCs w:val="28"/>
        </w:rPr>
        <w:t xml:space="preserve"> Here is an example of my prompt to the AI: “Using the given files, generate for me an overview of the given assignment. The outcomes should be covered in a clear way for me to understand the assignment and the way I should be presented in my report.”</w:t>
      </w:r>
    </w:p>
    <w:p w14:paraId="357C79E5" w14:textId="77777777" w:rsidR="00D1777D" w:rsidRPr="00B96620" w:rsidRDefault="00D1777D" w:rsidP="00D1777D">
      <w:pPr>
        <w:pStyle w:val="ListParagraph"/>
        <w:ind w:left="764"/>
        <w:rPr>
          <w:rFonts w:asciiTheme="majorHAnsi" w:hAnsiTheme="majorHAnsi" w:cs="Times New Roman"/>
          <w:sz w:val="28"/>
          <w:szCs w:val="28"/>
        </w:rPr>
      </w:pPr>
    </w:p>
    <w:p w14:paraId="3A6FE22E" w14:textId="77777777" w:rsidR="00CD3CA6" w:rsidRPr="00B96620" w:rsidRDefault="00CD3CA6" w:rsidP="00CD3CA6">
      <w:pPr>
        <w:rPr>
          <w:rFonts w:asciiTheme="majorHAnsi" w:hAnsiTheme="majorHAnsi" w:cs="Times New Roman"/>
          <w:i/>
          <w:iCs/>
          <w:color w:val="0070C0"/>
          <w:sz w:val="28"/>
          <w:szCs w:val="28"/>
        </w:rPr>
      </w:pPr>
    </w:p>
    <w:p w14:paraId="33B603D0" w14:textId="33C93D4F" w:rsidR="000820F6" w:rsidRPr="00B96620" w:rsidRDefault="000820F6">
      <w:pPr>
        <w:rPr>
          <w:rFonts w:asciiTheme="majorHAnsi" w:hAnsiTheme="majorHAnsi" w:cs="Times New Roman"/>
          <w:sz w:val="28"/>
          <w:szCs w:val="28"/>
        </w:rPr>
      </w:pPr>
      <w:r w:rsidRPr="00B96620">
        <w:rPr>
          <w:rFonts w:asciiTheme="majorHAnsi" w:hAnsiTheme="majorHAnsi" w:cs="Times New Roman"/>
          <w:sz w:val="28"/>
          <w:szCs w:val="28"/>
        </w:rPr>
        <w:br w:type="page"/>
      </w:r>
    </w:p>
    <w:p w14:paraId="4A41CCE0" w14:textId="77777777" w:rsidR="000820F6" w:rsidRPr="00B96620" w:rsidRDefault="000820F6" w:rsidP="00CD3CA6">
      <w:pPr>
        <w:rPr>
          <w:rFonts w:asciiTheme="majorHAnsi" w:hAnsiTheme="majorHAnsi" w:cs="Times New Roman"/>
          <w:sz w:val="28"/>
          <w:szCs w:val="28"/>
        </w:rPr>
      </w:pPr>
    </w:p>
    <w:p w14:paraId="5DCE13CC" w14:textId="65D570A6" w:rsidR="00CD3CA6" w:rsidRPr="00B96620" w:rsidRDefault="00CD3CA6" w:rsidP="00CD3CA6">
      <w:pPr>
        <w:pStyle w:val="Heading2"/>
        <w:rPr>
          <w:rFonts w:cs="Times New Roman"/>
          <w:sz w:val="28"/>
          <w:szCs w:val="28"/>
        </w:rPr>
      </w:pPr>
      <w:r w:rsidRPr="00B96620">
        <w:rPr>
          <w:rFonts w:cs="Times New Roman"/>
          <w:sz w:val="28"/>
          <w:szCs w:val="28"/>
        </w:rPr>
        <w:t>6 References</w:t>
      </w:r>
    </w:p>
    <w:p w14:paraId="6F5A436A" w14:textId="77777777" w:rsidR="009B6F4E" w:rsidRPr="00B96620" w:rsidRDefault="009B6F4E" w:rsidP="009B6F4E">
      <w:pPr>
        <w:rPr>
          <w:rFonts w:asciiTheme="majorHAnsi" w:hAnsiTheme="majorHAnsi"/>
        </w:rPr>
      </w:pPr>
    </w:p>
    <w:p w14:paraId="3F45A28D" w14:textId="0EE154D1" w:rsidR="00CF3347" w:rsidRPr="00B96620" w:rsidRDefault="009B6F4E" w:rsidP="00CF3347">
      <w:pPr>
        <w:pStyle w:val="Bibliography"/>
        <w:rPr>
          <w:rFonts w:asciiTheme="majorHAnsi" w:hAnsiTheme="majorHAnsi" w:cs="Times New Roman"/>
          <w:sz w:val="28"/>
        </w:rPr>
      </w:pPr>
      <w:r w:rsidRPr="00B96620">
        <w:rPr>
          <w:rFonts w:asciiTheme="majorHAnsi" w:hAnsiTheme="majorHAnsi"/>
          <w:sz w:val="28"/>
          <w:szCs w:val="28"/>
        </w:rPr>
        <w:fldChar w:fldCharType="begin"/>
      </w:r>
      <w:r w:rsidR="003606AE" w:rsidRPr="00B96620">
        <w:rPr>
          <w:rFonts w:asciiTheme="majorHAnsi" w:hAnsiTheme="majorHAnsi"/>
          <w:sz w:val="28"/>
          <w:szCs w:val="28"/>
        </w:rPr>
        <w:instrText xml:space="preserve"> ADDIN ZOTERO_BIBL {"uncited":[],"omitted":[],"custom":[]} CSL_BIBLIOGRAPHY </w:instrText>
      </w:r>
      <w:r w:rsidRPr="00B96620">
        <w:rPr>
          <w:rFonts w:asciiTheme="majorHAnsi" w:hAnsiTheme="majorHAnsi"/>
          <w:sz w:val="28"/>
          <w:szCs w:val="28"/>
        </w:rPr>
        <w:fldChar w:fldCharType="separate"/>
      </w:r>
      <w:r w:rsidR="00CF3347" w:rsidRPr="00B96620">
        <w:rPr>
          <w:rFonts w:asciiTheme="majorHAnsi" w:hAnsiTheme="majorHAnsi" w:cs="Times New Roman"/>
          <w:sz w:val="28"/>
        </w:rPr>
        <w:t>Alliance News</w:t>
      </w:r>
      <w:r w:rsidR="002C3426" w:rsidRPr="00B96620">
        <w:rPr>
          <w:rFonts w:asciiTheme="majorHAnsi" w:hAnsiTheme="majorHAnsi" w:cs="Times New Roman"/>
          <w:sz w:val="28"/>
        </w:rPr>
        <w:t>.</w:t>
      </w:r>
      <w:r w:rsidR="00CF3347" w:rsidRPr="00B96620">
        <w:rPr>
          <w:rFonts w:asciiTheme="majorHAnsi" w:hAnsiTheme="majorHAnsi" w:cs="Times New Roman"/>
          <w:sz w:val="28"/>
        </w:rPr>
        <w:t xml:space="preserve"> (2025)</w:t>
      </w:r>
      <w:r w:rsidR="005F3147">
        <w:rPr>
          <w:rFonts w:asciiTheme="majorHAnsi" w:hAnsiTheme="majorHAnsi" w:cs="Times New Roman"/>
          <w:sz w:val="28"/>
        </w:rPr>
        <w:t>.</w:t>
      </w:r>
      <w:r w:rsidR="00CF3347" w:rsidRPr="00B96620">
        <w:rPr>
          <w:rFonts w:asciiTheme="majorHAnsi" w:hAnsiTheme="majorHAnsi" w:cs="Times New Roman"/>
          <w:sz w:val="28"/>
        </w:rPr>
        <w:t xml:space="preserve"> </w:t>
      </w:r>
      <w:r w:rsidR="00CF3347" w:rsidRPr="00B96620">
        <w:rPr>
          <w:rFonts w:asciiTheme="majorHAnsi" w:hAnsiTheme="majorHAnsi" w:cs="Times New Roman"/>
          <w:i/>
          <w:iCs/>
          <w:sz w:val="28"/>
        </w:rPr>
        <w:t>Oxford Nanopore closer to profitability after revenue growth in 2024 | AJ Bell</w:t>
      </w:r>
      <w:r w:rsidR="00CF3347" w:rsidRPr="00B96620">
        <w:rPr>
          <w:rFonts w:asciiTheme="majorHAnsi" w:hAnsiTheme="majorHAnsi" w:cs="Times New Roman"/>
          <w:sz w:val="28"/>
        </w:rPr>
        <w:t>. Available at: https://www.ajbell.co.uk/news/articles/oxford-nanopore-closer-profitability-after-revenue-growth-2024 (Accessed: 5 March 2026).</w:t>
      </w:r>
    </w:p>
    <w:p w14:paraId="6D79D090" w14:textId="52F2D9FC" w:rsidR="00CF3347" w:rsidRPr="00B96620" w:rsidRDefault="00CF3347" w:rsidP="00CF3347">
      <w:pPr>
        <w:pStyle w:val="Bibliography"/>
        <w:rPr>
          <w:rFonts w:asciiTheme="majorHAnsi" w:hAnsiTheme="majorHAnsi" w:cs="Times New Roman"/>
          <w:sz w:val="28"/>
        </w:rPr>
      </w:pPr>
      <w:r w:rsidRPr="00B96620">
        <w:rPr>
          <w:rFonts w:asciiTheme="majorHAnsi" w:hAnsiTheme="majorHAnsi" w:cs="Times New Roman"/>
          <w:sz w:val="28"/>
        </w:rPr>
        <w:t>Alliance News</w:t>
      </w:r>
      <w:r w:rsidR="005F3147">
        <w:rPr>
          <w:rFonts w:asciiTheme="majorHAnsi" w:hAnsiTheme="majorHAnsi" w:cs="Times New Roman"/>
          <w:sz w:val="28"/>
        </w:rPr>
        <w:t xml:space="preserve">. </w:t>
      </w:r>
      <w:r w:rsidRPr="00B96620">
        <w:rPr>
          <w:rFonts w:asciiTheme="majorHAnsi" w:hAnsiTheme="majorHAnsi" w:cs="Times New Roman"/>
          <w:sz w:val="28"/>
        </w:rPr>
        <w:t>(2026)</w:t>
      </w:r>
      <w:r w:rsidR="005F3147">
        <w:rPr>
          <w:rFonts w:asciiTheme="majorHAnsi" w:hAnsiTheme="majorHAnsi" w:cs="Times New Roman"/>
          <w:sz w:val="28"/>
        </w:rPr>
        <w:t>.</w:t>
      </w:r>
      <w:r w:rsidRPr="00B96620">
        <w:rPr>
          <w:rFonts w:asciiTheme="majorHAnsi" w:hAnsiTheme="majorHAnsi" w:cs="Times New Roman"/>
          <w:sz w:val="28"/>
        </w:rPr>
        <w:t xml:space="preserve"> </w:t>
      </w:r>
      <w:r w:rsidRPr="00B96620">
        <w:rPr>
          <w:rFonts w:asciiTheme="majorHAnsi" w:hAnsiTheme="majorHAnsi" w:cs="Times New Roman"/>
          <w:i/>
          <w:iCs/>
          <w:sz w:val="28"/>
        </w:rPr>
        <w:t>Oxford Nanopore says full year revenue will be slightly ahead of hopes</w:t>
      </w:r>
      <w:r w:rsidRPr="00B96620">
        <w:rPr>
          <w:rFonts w:asciiTheme="majorHAnsi" w:hAnsiTheme="majorHAnsi" w:cs="Times New Roman"/>
          <w:sz w:val="28"/>
        </w:rPr>
        <w:t xml:space="preserve">, </w:t>
      </w:r>
      <w:r w:rsidRPr="00B96620">
        <w:rPr>
          <w:rFonts w:asciiTheme="majorHAnsi" w:hAnsiTheme="majorHAnsi" w:cs="Times New Roman"/>
          <w:i/>
          <w:iCs/>
          <w:sz w:val="28"/>
        </w:rPr>
        <w:t>Morningstar, Inc.</w:t>
      </w:r>
      <w:r w:rsidRPr="00B96620">
        <w:rPr>
          <w:rFonts w:asciiTheme="majorHAnsi" w:hAnsiTheme="majorHAnsi" w:cs="Times New Roman"/>
          <w:sz w:val="28"/>
        </w:rPr>
        <w:t xml:space="preserve"> Available at: https://global.morningstar.com/en-gb/news/alliance-news/1768210179609811900/oxford-nanopore-says-full-year-revenue-will-be-slightly-ahead-of-hopes (Accessed: 4 March 2026).</w:t>
      </w:r>
    </w:p>
    <w:p w14:paraId="7543203E" w14:textId="247ACE7C" w:rsidR="00CF3347" w:rsidRPr="00B96620" w:rsidRDefault="00CF3347" w:rsidP="00CF3347">
      <w:pPr>
        <w:pStyle w:val="Bibliography"/>
        <w:rPr>
          <w:rFonts w:asciiTheme="majorHAnsi" w:hAnsiTheme="majorHAnsi" w:cs="Times New Roman"/>
          <w:sz w:val="28"/>
        </w:rPr>
      </w:pPr>
      <w:r w:rsidRPr="00B96620">
        <w:rPr>
          <w:rFonts w:asciiTheme="majorHAnsi" w:hAnsiTheme="majorHAnsi" w:cs="Times New Roman"/>
          <w:sz w:val="28"/>
        </w:rPr>
        <w:t>Allianz Trade</w:t>
      </w:r>
      <w:r w:rsidR="005F3147">
        <w:rPr>
          <w:rFonts w:asciiTheme="majorHAnsi" w:hAnsiTheme="majorHAnsi" w:cs="Times New Roman"/>
          <w:sz w:val="28"/>
        </w:rPr>
        <w:t xml:space="preserve">. </w:t>
      </w:r>
      <w:r w:rsidRPr="00B96620">
        <w:rPr>
          <w:rFonts w:asciiTheme="majorHAnsi" w:hAnsiTheme="majorHAnsi" w:cs="Times New Roman"/>
          <w:sz w:val="28"/>
        </w:rPr>
        <w:t>(2026)</w:t>
      </w:r>
      <w:r w:rsidR="005F3147">
        <w:rPr>
          <w:rFonts w:asciiTheme="majorHAnsi" w:hAnsiTheme="majorHAnsi" w:cs="Times New Roman"/>
          <w:sz w:val="28"/>
        </w:rPr>
        <w:t>.</w:t>
      </w:r>
      <w:r w:rsidRPr="00B96620">
        <w:rPr>
          <w:rFonts w:asciiTheme="majorHAnsi" w:hAnsiTheme="majorHAnsi" w:cs="Times New Roman"/>
          <w:sz w:val="28"/>
        </w:rPr>
        <w:t xml:space="preserve"> </w:t>
      </w:r>
      <w:r w:rsidRPr="00B96620">
        <w:rPr>
          <w:rFonts w:asciiTheme="majorHAnsi" w:hAnsiTheme="majorHAnsi" w:cs="Times New Roman"/>
          <w:i/>
          <w:iCs/>
          <w:sz w:val="28"/>
        </w:rPr>
        <w:t xml:space="preserve">Asset Turnover Ratio: Definition, Formula </w:t>
      </w:r>
      <w:proofErr w:type="gramStart"/>
      <w:r w:rsidRPr="00B96620">
        <w:rPr>
          <w:rFonts w:asciiTheme="majorHAnsi" w:hAnsiTheme="majorHAnsi" w:cs="Times New Roman"/>
          <w:i/>
          <w:iCs/>
          <w:sz w:val="28"/>
        </w:rPr>
        <w:t>And</w:t>
      </w:r>
      <w:proofErr w:type="gramEnd"/>
      <w:r w:rsidRPr="00B96620">
        <w:rPr>
          <w:rFonts w:asciiTheme="majorHAnsi" w:hAnsiTheme="majorHAnsi" w:cs="Times New Roman"/>
          <w:i/>
          <w:iCs/>
          <w:sz w:val="28"/>
        </w:rPr>
        <w:t xml:space="preserve"> Practical Insights</w:t>
      </w:r>
      <w:r w:rsidRPr="00B96620">
        <w:rPr>
          <w:rFonts w:asciiTheme="majorHAnsi" w:hAnsiTheme="majorHAnsi" w:cs="Times New Roman"/>
          <w:sz w:val="28"/>
        </w:rPr>
        <w:t xml:space="preserve">, </w:t>
      </w:r>
      <w:r w:rsidRPr="00B96620">
        <w:rPr>
          <w:rFonts w:asciiTheme="majorHAnsi" w:hAnsiTheme="majorHAnsi" w:cs="Times New Roman"/>
          <w:i/>
          <w:iCs/>
          <w:sz w:val="28"/>
        </w:rPr>
        <w:t>Allianz Trade Corporate</w:t>
      </w:r>
      <w:r w:rsidRPr="00B96620">
        <w:rPr>
          <w:rFonts w:asciiTheme="majorHAnsi" w:hAnsiTheme="majorHAnsi" w:cs="Times New Roman"/>
          <w:sz w:val="28"/>
        </w:rPr>
        <w:t>. Available at: https://www.allianz-trade.com/en_US/insights/asset-turnover-ratio.html (Accessed: 5 March 2026).</w:t>
      </w:r>
    </w:p>
    <w:p w14:paraId="2B38D526" w14:textId="1D05B174" w:rsidR="00CF3347" w:rsidRPr="00B96620" w:rsidRDefault="00CF3347" w:rsidP="00CF3347">
      <w:pPr>
        <w:pStyle w:val="Bibliography"/>
        <w:rPr>
          <w:rFonts w:asciiTheme="majorHAnsi" w:hAnsiTheme="majorHAnsi" w:cs="Times New Roman"/>
          <w:sz w:val="28"/>
        </w:rPr>
      </w:pPr>
      <w:r w:rsidRPr="00B96620">
        <w:rPr>
          <w:rFonts w:asciiTheme="majorHAnsi" w:hAnsiTheme="majorHAnsi" w:cs="Times New Roman"/>
          <w:sz w:val="28"/>
        </w:rPr>
        <w:t>Amoroso, G</w:t>
      </w:r>
      <w:r w:rsidR="005F3147">
        <w:rPr>
          <w:rFonts w:asciiTheme="majorHAnsi" w:hAnsiTheme="majorHAnsi" w:cs="Times New Roman"/>
          <w:sz w:val="28"/>
        </w:rPr>
        <w:t>.</w:t>
      </w:r>
      <w:r w:rsidRPr="00B96620">
        <w:rPr>
          <w:rFonts w:asciiTheme="majorHAnsi" w:hAnsiTheme="majorHAnsi" w:cs="Times New Roman"/>
          <w:sz w:val="28"/>
        </w:rPr>
        <w:t xml:space="preserve"> (2026)</w:t>
      </w:r>
      <w:r w:rsidR="005F3147">
        <w:rPr>
          <w:rFonts w:asciiTheme="majorHAnsi" w:hAnsiTheme="majorHAnsi" w:cs="Times New Roman"/>
          <w:sz w:val="28"/>
        </w:rPr>
        <w:t>.</w:t>
      </w:r>
      <w:r w:rsidRPr="00B96620">
        <w:rPr>
          <w:rFonts w:asciiTheme="majorHAnsi" w:hAnsiTheme="majorHAnsi" w:cs="Times New Roman"/>
          <w:sz w:val="28"/>
        </w:rPr>
        <w:t xml:space="preserve"> </w:t>
      </w:r>
      <w:r w:rsidRPr="00B96620">
        <w:rPr>
          <w:rFonts w:asciiTheme="majorHAnsi" w:hAnsiTheme="majorHAnsi" w:cs="Times New Roman"/>
          <w:i/>
          <w:iCs/>
          <w:sz w:val="28"/>
        </w:rPr>
        <w:t>UK R&amp;</w:t>
      </w:r>
      <w:proofErr w:type="gramStart"/>
      <w:r w:rsidRPr="00B96620">
        <w:rPr>
          <w:rFonts w:asciiTheme="majorHAnsi" w:hAnsiTheme="majorHAnsi" w:cs="Times New Roman"/>
          <w:i/>
          <w:iCs/>
          <w:sz w:val="28"/>
        </w:rPr>
        <w:t>amp;D</w:t>
      </w:r>
      <w:proofErr w:type="gramEnd"/>
      <w:r w:rsidRPr="00B96620">
        <w:rPr>
          <w:rFonts w:asciiTheme="majorHAnsi" w:hAnsiTheme="majorHAnsi" w:cs="Times New Roman"/>
          <w:i/>
          <w:iCs/>
          <w:sz w:val="28"/>
        </w:rPr>
        <w:t xml:space="preserve"> Spending Surges in 2025, Led by Pharma and Biotech</w:t>
      </w:r>
      <w:r w:rsidRPr="00B96620">
        <w:rPr>
          <w:rFonts w:asciiTheme="majorHAnsi" w:hAnsiTheme="majorHAnsi" w:cs="Times New Roman"/>
          <w:sz w:val="28"/>
        </w:rPr>
        <w:t xml:space="preserve">, </w:t>
      </w:r>
      <w:r w:rsidRPr="00B96620">
        <w:rPr>
          <w:rFonts w:asciiTheme="majorHAnsi" w:hAnsiTheme="majorHAnsi" w:cs="Times New Roman"/>
          <w:i/>
          <w:iCs/>
          <w:sz w:val="28"/>
        </w:rPr>
        <w:t>FI Group UK</w:t>
      </w:r>
      <w:r w:rsidRPr="00B96620">
        <w:rPr>
          <w:rFonts w:asciiTheme="majorHAnsi" w:hAnsiTheme="majorHAnsi" w:cs="Times New Roman"/>
          <w:sz w:val="28"/>
        </w:rPr>
        <w:t>. Available at: https://www.fi-group.uk/uk-rd-spending-surges-in-2025-led-by-pharma-and-biotech/ (Accessed: 1 March 2026).</w:t>
      </w:r>
    </w:p>
    <w:p w14:paraId="3E55D890" w14:textId="7C09AE64" w:rsidR="00CF3347" w:rsidRPr="00B96620" w:rsidRDefault="00CF3347" w:rsidP="00CF3347">
      <w:pPr>
        <w:pStyle w:val="Bibliography"/>
        <w:rPr>
          <w:rFonts w:asciiTheme="majorHAnsi" w:hAnsiTheme="majorHAnsi" w:cs="Times New Roman"/>
          <w:sz w:val="28"/>
        </w:rPr>
      </w:pPr>
      <w:r w:rsidRPr="00B96620">
        <w:rPr>
          <w:rFonts w:asciiTheme="majorHAnsi" w:hAnsiTheme="majorHAnsi" w:cs="Times New Roman"/>
          <w:sz w:val="28"/>
        </w:rPr>
        <w:t>Bates, S</w:t>
      </w:r>
      <w:r w:rsidR="005F3147">
        <w:rPr>
          <w:rFonts w:asciiTheme="majorHAnsi" w:hAnsiTheme="majorHAnsi" w:cs="Times New Roman"/>
          <w:sz w:val="28"/>
        </w:rPr>
        <w:t>.</w:t>
      </w:r>
      <w:r w:rsidRPr="00B96620">
        <w:rPr>
          <w:rFonts w:asciiTheme="majorHAnsi" w:hAnsiTheme="majorHAnsi" w:cs="Times New Roman"/>
          <w:sz w:val="28"/>
        </w:rPr>
        <w:t xml:space="preserve"> (2025)</w:t>
      </w:r>
      <w:r w:rsidR="005F3147">
        <w:rPr>
          <w:rFonts w:asciiTheme="majorHAnsi" w:hAnsiTheme="majorHAnsi" w:cs="Times New Roman"/>
          <w:sz w:val="28"/>
        </w:rPr>
        <w:t>.</w:t>
      </w:r>
      <w:r w:rsidRPr="00B96620">
        <w:rPr>
          <w:rFonts w:asciiTheme="majorHAnsi" w:hAnsiTheme="majorHAnsi" w:cs="Times New Roman"/>
          <w:sz w:val="28"/>
        </w:rPr>
        <w:t xml:space="preserve"> ‘Finance Report 2024 – Biotech Finance’, 27 January. Available at: https://biotechfinance.org/finance-report-2024/ (Accessed: 1 March 2026).</w:t>
      </w:r>
    </w:p>
    <w:p w14:paraId="7E61EA45" w14:textId="741CFBAC" w:rsidR="00CF3347" w:rsidRPr="00B96620" w:rsidRDefault="00CF3347" w:rsidP="00CF3347">
      <w:pPr>
        <w:pStyle w:val="Bibliography"/>
        <w:rPr>
          <w:rFonts w:asciiTheme="majorHAnsi" w:hAnsiTheme="majorHAnsi" w:cs="Times New Roman"/>
          <w:sz w:val="28"/>
        </w:rPr>
      </w:pPr>
      <w:r w:rsidRPr="00B96620">
        <w:rPr>
          <w:rFonts w:asciiTheme="majorHAnsi" w:hAnsiTheme="majorHAnsi" w:cs="Times New Roman"/>
          <w:sz w:val="28"/>
        </w:rPr>
        <w:t>Genus PLC</w:t>
      </w:r>
      <w:r w:rsidR="005F3147">
        <w:rPr>
          <w:rFonts w:asciiTheme="majorHAnsi" w:hAnsiTheme="majorHAnsi" w:cs="Times New Roman"/>
          <w:sz w:val="28"/>
        </w:rPr>
        <w:t>.</w:t>
      </w:r>
      <w:r w:rsidRPr="00B96620">
        <w:rPr>
          <w:rFonts w:asciiTheme="majorHAnsi" w:hAnsiTheme="majorHAnsi" w:cs="Times New Roman"/>
          <w:sz w:val="28"/>
        </w:rPr>
        <w:t xml:space="preserve"> (2023)</w:t>
      </w:r>
      <w:r w:rsidR="005F3147">
        <w:rPr>
          <w:rFonts w:asciiTheme="majorHAnsi" w:hAnsiTheme="majorHAnsi" w:cs="Times New Roman"/>
          <w:sz w:val="28"/>
        </w:rPr>
        <w:t>.</w:t>
      </w:r>
      <w:r w:rsidRPr="00B96620">
        <w:rPr>
          <w:rFonts w:asciiTheme="majorHAnsi" w:hAnsiTheme="majorHAnsi" w:cs="Times New Roman"/>
          <w:sz w:val="28"/>
        </w:rPr>
        <w:t xml:space="preserve"> </w:t>
      </w:r>
      <w:proofErr w:type="gramStart"/>
      <w:r w:rsidRPr="00B96620">
        <w:rPr>
          <w:rFonts w:asciiTheme="majorHAnsi" w:hAnsiTheme="majorHAnsi" w:cs="Times New Roman"/>
          <w:i/>
          <w:iCs/>
          <w:sz w:val="28"/>
        </w:rPr>
        <w:t>Genus</w:t>
      </w:r>
      <w:proofErr w:type="gramEnd"/>
      <w:r w:rsidRPr="00B96620">
        <w:rPr>
          <w:rFonts w:asciiTheme="majorHAnsi" w:hAnsiTheme="majorHAnsi" w:cs="Times New Roman"/>
          <w:i/>
          <w:iCs/>
          <w:sz w:val="28"/>
        </w:rPr>
        <w:t xml:space="preserve"> plc Preliminary Results for the Year Ended 30 June 2023</w:t>
      </w:r>
      <w:r w:rsidRPr="00B96620">
        <w:rPr>
          <w:rFonts w:asciiTheme="majorHAnsi" w:hAnsiTheme="majorHAnsi" w:cs="Times New Roman"/>
          <w:sz w:val="28"/>
        </w:rPr>
        <w:t>. Available at: https://www.businesswire.com/news/home/20230906828945/en/Genus-plc-Preliminary-Results-for-the-Year-Ended-30-June-2023 (Accessed: 4 March 2026).</w:t>
      </w:r>
    </w:p>
    <w:p w14:paraId="0D6550BB" w14:textId="0BF0F273" w:rsidR="00CF3347" w:rsidRPr="00B96620" w:rsidRDefault="00CF3347" w:rsidP="00CF3347">
      <w:pPr>
        <w:pStyle w:val="Bibliography"/>
        <w:rPr>
          <w:rFonts w:asciiTheme="majorHAnsi" w:hAnsiTheme="majorHAnsi" w:cs="Times New Roman"/>
          <w:sz w:val="28"/>
        </w:rPr>
      </w:pPr>
      <w:r w:rsidRPr="00B96620">
        <w:rPr>
          <w:rFonts w:asciiTheme="majorHAnsi" w:hAnsiTheme="majorHAnsi" w:cs="Times New Roman"/>
          <w:sz w:val="28"/>
        </w:rPr>
        <w:t>Genus PLC</w:t>
      </w:r>
      <w:r w:rsidR="005F3147">
        <w:rPr>
          <w:rFonts w:asciiTheme="majorHAnsi" w:hAnsiTheme="majorHAnsi" w:cs="Times New Roman"/>
          <w:sz w:val="28"/>
        </w:rPr>
        <w:t>.</w:t>
      </w:r>
      <w:r w:rsidRPr="00B96620">
        <w:rPr>
          <w:rFonts w:asciiTheme="majorHAnsi" w:hAnsiTheme="majorHAnsi" w:cs="Times New Roman"/>
          <w:sz w:val="28"/>
        </w:rPr>
        <w:t xml:space="preserve"> (2024)</w:t>
      </w:r>
      <w:r w:rsidR="005F3147">
        <w:rPr>
          <w:rFonts w:asciiTheme="majorHAnsi" w:hAnsiTheme="majorHAnsi" w:cs="Times New Roman"/>
          <w:sz w:val="28"/>
        </w:rPr>
        <w:t>.</w:t>
      </w:r>
      <w:r w:rsidRPr="00B96620">
        <w:rPr>
          <w:rFonts w:asciiTheme="majorHAnsi" w:hAnsiTheme="majorHAnsi" w:cs="Times New Roman"/>
          <w:sz w:val="28"/>
        </w:rPr>
        <w:t xml:space="preserve"> </w:t>
      </w:r>
      <w:proofErr w:type="gramStart"/>
      <w:r w:rsidRPr="00B96620">
        <w:rPr>
          <w:rFonts w:asciiTheme="majorHAnsi" w:hAnsiTheme="majorHAnsi" w:cs="Times New Roman"/>
          <w:i/>
          <w:iCs/>
          <w:sz w:val="28"/>
        </w:rPr>
        <w:t>Genus</w:t>
      </w:r>
      <w:proofErr w:type="gramEnd"/>
      <w:r w:rsidRPr="00B96620">
        <w:rPr>
          <w:rFonts w:asciiTheme="majorHAnsi" w:hAnsiTheme="majorHAnsi" w:cs="Times New Roman"/>
          <w:i/>
          <w:iCs/>
          <w:sz w:val="28"/>
        </w:rPr>
        <w:t xml:space="preserve"> plc Preliminary Results for the Year Ended 30 June 2024</w:t>
      </w:r>
      <w:r w:rsidRPr="00B96620">
        <w:rPr>
          <w:rFonts w:asciiTheme="majorHAnsi" w:hAnsiTheme="majorHAnsi" w:cs="Times New Roman"/>
          <w:sz w:val="28"/>
        </w:rPr>
        <w:t>. Available at: https://www.businesswire.com/news/home/20240904874140/en/Genus-plc-Preliminary-Results-for-the-Year-Ended-30-June-2024 (Accessed: 4 March 2026).</w:t>
      </w:r>
    </w:p>
    <w:p w14:paraId="02D6CC8F" w14:textId="35629A24" w:rsidR="00CF3347" w:rsidRPr="00B96620" w:rsidRDefault="00CF3347" w:rsidP="00CF3347">
      <w:pPr>
        <w:pStyle w:val="Bibliography"/>
        <w:rPr>
          <w:rFonts w:asciiTheme="majorHAnsi" w:hAnsiTheme="majorHAnsi" w:cs="Times New Roman"/>
          <w:sz w:val="28"/>
        </w:rPr>
      </w:pPr>
      <w:r w:rsidRPr="00B96620">
        <w:rPr>
          <w:rFonts w:asciiTheme="majorHAnsi" w:hAnsiTheme="majorHAnsi" w:cs="Times New Roman"/>
          <w:sz w:val="28"/>
        </w:rPr>
        <w:t>GOV.UK</w:t>
      </w:r>
      <w:r w:rsidR="005F3147">
        <w:rPr>
          <w:rFonts w:asciiTheme="majorHAnsi" w:hAnsiTheme="majorHAnsi" w:cs="Times New Roman"/>
          <w:sz w:val="28"/>
        </w:rPr>
        <w:t>.</w:t>
      </w:r>
      <w:r w:rsidRPr="00B96620">
        <w:rPr>
          <w:rFonts w:asciiTheme="majorHAnsi" w:hAnsiTheme="majorHAnsi" w:cs="Times New Roman"/>
          <w:sz w:val="28"/>
        </w:rPr>
        <w:t xml:space="preserve"> (2025)</w:t>
      </w:r>
      <w:r w:rsidR="005F3147">
        <w:rPr>
          <w:rFonts w:asciiTheme="majorHAnsi" w:hAnsiTheme="majorHAnsi" w:cs="Times New Roman"/>
          <w:sz w:val="28"/>
        </w:rPr>
        <w:t>.</w:t>
      </w:r>
      <w:r w:rsidRPr="00B96620">
        <w:rPr>
          <w:rFonts w:asciiTheme="majorHAnsi" w:hAnsiTheme="majorHAnsi" w:cs="Times New Roman"/>
          <w:sz w:val="28"/>
        </w:rPr>
        <w:t xml:space="preserve"> </w:t>
      </w:r>
      <w:r w:rsidRPr="00B96620">
        <w:rPr>
          <w:rFonts w:asciiTheme="majorHAnsi" w:hAnsiTheme="majorHAnsi" w:cs="Times New Roman"/>
          <w:i/>
          <w:iCs/>
          <w:sz w:val="28"/>
        </w:rPr>
        <w:t>Bioscience and health technology sector statistics 2023 to 2024</w:t>
      </w:r>
      <w:r w:rsidRPr="00B96620">
        <w:rPr>
          <w:rFonts w:asciiTheme="majorHAnsi" w:hAnsiTheme="majorHAnsi" w:cs="Times New Roman"/>
          <w:sz w:val="28"/>
        </w:rPr>
        <w:t xml:space="preserve">, </w:t>
      </w:r>
      <w:r w:rsidRPr="00B96620">
        <w:rPr>
          <w:rFonts w:asciiTheme="majorHAnsi" w:hAnsiTheme="majorHAnsi" w:cs="Times New Roman"/>
          <w:i/>
          <w:iCs/>
          <w:sz w:val="28"/>
        </w:rPr>
        <w:t>GOV.UK</w:t>
      </w:r>
      <w:r w:rsidRPr="00B96620">
        <w:rPr>
          <w:rFonts w:asciiTheme="majorHAnsi" w:hAnsiTheme="majorHAnsi" w:cs="Times New Roman"/>
          <w:sz w:val="28"/>
        </w:rPr>
        <w:t>. Available at: https://www.gov.uk/government/statistics/bioscience-and-health-technology-</w:t>
      </w:r>
      <w:r w:rsidRPr="00B96620">
        <w:rPr>
          <w:rFonts w:asciiTheme="majorHAnsi" w:hAnsiTheme="majorHAnsi" w:cs="Times New Roman"/>
          <w:sz w:val="28"/>
        </w:rPr>
        <w:lastRenderedPageBreak/>
        <w:t>sector-statistics-2023-to-2024/bioscience-and-health-technology-sector-statistics-2023-to-2024 (Accessed: 1 March 2026).</w:t>
      </w:r>
    </w:p>
    <w:p w14:paraId="05724D63" w14:textId="42F34F9A" w:rsidR="00CF3347" w:rsidRPr="00B96620" w:rsidRDefault="00CF3347" w:rsidP="00CF3347">
      <w:pPr>
        <w:pStyle w:val="Bibliography"/>
        <w:rPr>
          <w:rFonts w:asciiTheme="majorHAnsi" w:hAnsiTheme="majorHAnsi" w:cs="Times New Roman"/>
          <w:sz w:val="28"/>
        </w:rPr>
      </w:pPr>
      <w:r w:rsidRPr="00B96620">
        <w:rPr>
          <w:rFonts w:asciiTheme="majorHAnsi" w:hAnsiTheme="majorHAnsi" w:cs="Times New Roman"/>
          <w:sz w:val="28"/>
        </w:rPr>
        <w:t>IP Group PLC</w:t>
      </w:r>
      <w:r w:rsidR="005F3147">
        <w:rPr>
          <w:rFonts w:asciiTheme="majorHAnsi" w:hAnsiTheme="majorHAnsi" w:cs="Times New Roman"/>
          <w:sz w:val="28"/>
        </w:rPr>
        <w:t>.</w:t>
      </w:r>
      <w:r w:rsidRPr="00B96620">
        <w:rPr>
          <w:rFonts w:asciiTheme="majorHAnsi" w:hAnsiTheme="majorHAnsi" w:cs="Times New Roman"/>
          <w:sz w:val="28"/>
        </w:rPr>
        <w:t xml:space="preserve"> (2024)</w:t>
      </w:r>
      <w:r w:rsidR="005F3147">
        <w:rPr>
          <w:rFonts w:asciiTheme="majorHAnsi" w:hAnsiTheme="majorHAnsi" w:cs="Times New Roman"/>
          <w:sz w:val="28"/>
        </w:rPr>
        <w:t>.</w:t>
      </w:r>
      <w:r w:rsidRPr="00B96620">
        <w:rPr>
          <w:rFonts w:asciiTheme="majorHAnsi" w:hAnsiTheme="majorHAnsi" w:cs="Times New Roman"/>
          <w:sz w:val="28"/>
        </w:rPr>
        <w:t xml:space="preserve"> </w:t>
      </w:r>
      <w:r w:rsidRPr="00B96620">
        <w:rPr>
          <w:rFonts w:asciiTheme="majorHAnsi" w:hAnsiTheme="majorHAnsi" w:cs="Times New Roman"/>
          <w:i/>
          <w:iCs/>
          <w:sz w:val="28"/>
        </w:rPr>
        <w:t>Oxford Nanopore Technologies plc - FY23 trading update</w:t>
      </w:r>
      <w:r w:rsidRPr="00B96620">
        <w:rPr>
          <w:rFonts w:asciiTheme="majorHAnsi" w:hAnsiTheme="majorHAnsi" w:cs="Times New Roman"/>
          <w:sz w:val="28"/>
        </w:rPr>
        <w:t>. Available at: https://www.ipgroupplc.com/news-and-events/portfolio-news/2024/2024-01-09 (Accessed: 5 March 2026).</w:t>
      </w:r>
    </w:p>
    <w:p w14:paraId="0D0F94BB" w14:textId="7099A6FD" w:rsidR="00CF3347" w:rsidRPr="00B96620" w:rsidRDefault="00CF3347" w:rsidP="00CF3347">
      <w:pPr>
        <w:pStyle w:val="Bibliography"/>
        <w:rPr>
          <w:rFonts w:asciiTheme="majorHAnsi" w:hAnsiTheme="majorHAnsi" w:cs="Times New Roman"/>
          <w:sz w:val="28"/>
        </w:rPr>
      </w:pPr>
      <w:r w:rsidRPr="00B96620">
        <w:rPr>
          <w:rFonts w:asciiTheme="majorHAnsi" w:hAnsiTheme="majorHAnsi" w:cs="Times New Roman"/>
          <w:sz w:val="28"/>
        </w:rPr>
        <w:t>IP Group PLC</w:t>
      </w:r>
      <w:r w:rsidR="005F3147">
        <w:rPr>
          <w:rFonts w:asciiTheme="majorHAnsi" w:hAnsiTheme="majorHAnsi" w:cs="Times New Roman"/>
          <w:sz w:val="28"/>
        </w:rPr>
        <w:t>.</w:t>
      </w:r>
      <w:r w:rsidRPr="00B96620">
        <w:rPr>
          <w:rFonts w:asciiTheme="majorHAnsi" w:hAnsiTheme="majorHAnsi" w:cs="Times New Roman"/>
          <w:sz w:val="28"/>
        </w:rPr>
        <w:t xml:space="preserve"> (2025)</w:t>
      </w:r>
      <w:r w:rsidR="005F3147">
        <w:rPr>
          <w:rFonts w:asciiTheme="majorHAnsi" w:hAnsiTheme="majorHAnsi" w:cs="Times New Roman"/>
          <w:sz w:val="28"/>
        </w:rPr>
        <w:t>.</w:t>
      </w:r>
      <w:r w:rsidRPr="00B96620">
        <w:rPr>
          <w:rFonts w:asciiTheme="majorHAnsi" w:hAnsiTheme="majorHAnsi" w:cs="Times New Roman"/>
          <w:sz w:val="28"/>
        </w:rPr>
        <w:t xml:space="preserve"> </w:t>
      </w:r>
      <w:r w:rsidRPr="00B96620">
        <w:rPr>
          <w:rFonts w:asciiTheme="majorHAnsi" w:hAnsiTheme="majorHAnsi" w:cs="Times New Roman"/>
          <w:i/>
          <w:iCs/>
          <w:sz w:val="28"/>
        </w:rPr>
        <w:t>Oxford Nanopore Technologies plc - Full Year Trading Update and Notice of Results</w:t>
      </w:r>
      <w:r w:rsidRPr="00B96620">
        <w:rPr>
          <w:rFonts w:asciiTheme="majorHAnsi" w:hAnsiTheme="majorHAnsi" w:cs="Times New Roman"/>
          <w:sz w:val="28"/>
        </w:rPr>
        <w:t>. Available at: https://www.ipgroupplc.com/news-and-events/portfolio-news/2025/2025-01-13 (Accessed: 28 February 2026).</w:t>
      </w:r>
    </w:p>
    <w:p w14:paraId="29C9722A" w14:textId="3D18E6BC" w:rsidR="00CF3347" w:rsidRPr="00B96620" w:rsidRDefault="00CF3347" w:rsidP="00CF3347">
      <w:pPr>
        <w:pStyle w:val="Bibliography"/>
        <w:rPr>
          <w:rFonts w:asciiTheme="majorHAnsi" w:hAnsiTheme="majorHAnsi" w:cs="Times New Roman"/>
          <w:sz w:val="28"/>
        </w:rPr>
      </w:pPr>
      <w:r w:rsidRPr="00B96620">
        <w:rPr>
          <w:rFonts w:asciiTheme="majorHAnsi" w:hAnsiTheme="majorHAnsi" w:cs="Times New Roman"/>
          <w:sz w:val="28"/>
        </w:rPr>
        <w:t>Kenton, W</w:t>
      </w:r>
      <w:r w:rsidR="005F3147">
        <w:rPr>
          <w:rFonts w:asciiTheme="majorHAnsi" w:hAnsiTheme="majorHAnsi" w:cs="Times New Roman"/>
          <w:sz w:val="28"/>
        </w:rPr>
        <w:t>.</w:t>
      </w:r>
      <w:r w:rsidRPr="00B96620">
        <w:rPr>
          <w:rFonts w:asciiTheme="majorHAnsi" w:hAnsiTheme="majorHAnsi" w:cs="Times New Roman"/>
          <w:sz w:val="28"/>
        </w:rPr>
        <w:t xml:space="preserve"> (2025)</w:t>
      </w:r>
      <w:r w:rsidR="005F3147">
        <w:rPr>
          <w:rFonts w:asciiTheme="majorHAnsi" w:hAnsiTheme="majorHAnsi" w:cs="Times New Roman"/>
          <w:sz w:val="28"/>
        </w:rPr>
        <w:t>.</w:t>
      </w:r>
      <w:r w:rsidRPr="00B96620">
        <w:rPr>
          <w:rFonts w:asciiTheme="majorHAnsi" w:hAnsiTheme="majorHAnsi" w:cs="Times New Roman"/>
          <w:sz w:val="28"/>
        </w:rPr>
        <w:t xml:space="preserve"> </w:t>
      </w:r>
      <w:r w:rsidRPr="00B96620">
        <w:rPr>
          <w:rFonts w:asciiTheme="majorHAnsi" w:hAnsiTheme="majorHAnsi" w:cs="Times New Roman"/>
          <w:i/>
          <w:iCs/>
          <w:sz w:val="28"/>
        </w:rPr>
        <w:t>J Curve: Definition and Uses in Economics and Private Equity</w:t>
      </w:r>
      <w:r w:rsidRPr="00B96620">
        <w:rPr>
          <w:rFonts w:asciiTheme="majorHAnsi" w:hAnsiTheme="majorHAnsi" w:cs="Times New Roman"/>
          <w:sz w:val="28"/>
        </w:rPr>
        <w:t xml:space="preserve">, </w:t>
      </w:r>
      <w:r w:rsidRPr="00B96620">
        <w:rPr>
          <w:rFonts w:asciiTheme="majorHAnsi" w:hAnsiTheme="majorHAnsi" w:cs="Times New Roman"/>
          <w:i/>
          <w:iCs/>
          <w:sz w:val="28"/>
        </w:rPr>
        <w:t>Investopedia</w:t>
      </w:r>
      <w:r w:rsidRPr="00B96620">
        <w:rPr>
          <w:rFonts w:asciiTheme="majorHAnsi" w:hAnsiTheme="majorHAnsi" w:cs="Times New Roman"/>
          <w:sz w:val="28"/>
        </w:rPr>
        <w:t>. Available at: https://www.investopedia.com/terms/j/j-curve-effect.asp (Accessed: 5 March 2026).</w:t>
      </w:r>
    </w:p>
    <w:p w14:paraId="302D6E3C" w14:textId="02C50513" w:rsidR="00CF3347" w:rsidRPr="00B96620" w:rsidRDefault="00CF3347" w:rsidP="00CF3347">
      <w:pPr>
        <w:pStyle w:val="Bibliography"/>
        <w:rPr>
          <w:rFonts w:asciiTheme="majorHAnsi" w:hAnsiTheme="majorHAnsi" w:cs="Times New Roman"/>
          <w:sz w:val="28"/>
        </w:rPr>
      </w:pPr>
      <w:r w:rsidRPr="00B96620">
        <w:rPr>
          <w:rFonts w:asciiTheme="majorHAnsi" w:hAnsiTheme="majorHAnsi" w:cs="Times New Roman"/>
          <w:sz w:val="28"/>
        </w:rPr>
        <w:t>NanoporeTech</w:t>
      </w:r>
      <w:r w:rsidR="005F3147">
        <w:rPr>
          <w:rFonts w:asciiTheme="majorHAnsi" w:hAnsiTheme="majorHAnsi" w:cs="Times New Roman"/>
          <w:sz w:val="28"/>
        </w:rPr>
        <w:t>.</w:t>
      </w:r>
      <w:r w:rsidRPr="00B96620">
        <w:rPr>
          <w:rFonts w:asciiTheme="majorHAnsi" w:hAnsiTheme="majorHAnsi" w:cs="Times New Roman"/>
          <w:sz w:val="28"/>
        </w:rPr>
        <w:t xml:space="preserve"> (2026)</w:t>
      </w:r>
      <w:r w:rsidR="005F3147">
        <w:rPr>
          <w:rFonts w:asciiTheme="majorHAnsi" w:hAnsiTheme="majorHAnsi" w:cs="Times New Roman"/>
          <w:sz w:val="28"/>
        </w:rPr>
        <w:t>.</w:t>
      </w:r>
      <w:r w:rsidRPr="00B96620">
        <w:rPr>
          <w:rFonts w:asciiTheme="majorHAnsi" w:hAnsiTheme="majorHAnsi" w:cs="Times New Roman"/>
          <w:sz w:val="28"/>
        </w:rPr>
        <w:t xml:space="preserve"> </w:t>
      </w:r>
      <w:r w:rsidRPr="00B96620">
        <w:rPr>
          <w:rFonts w:asciiTheme="majorHAnsi" w:hAnsiTheme="majorHAnsi" w:cs="Times New Roman"/>
          <w:i/>
          <w:iCs/>
          <w:sz w:val="28"/>
        </w:rPr>
        <w:t>About Us</w:t>
      </w:r>
      <w:r w:rsidRPr="00B96620">
        <w:rPr>
          <w:rFonts w:asciiTheme="majorHAnsi" w:hAnsiTheme="majorHAnsi" w:cs="Times New Roman"/>
          <w:sz w:val="28"/>
        </w:rPr>
        <w:t>. Available at: https://nanoporetech.com/about (Accessed: 28 February 2026).</w:t>
      </w:r>
    </w:p>
    <w:p w14:paraId="59EAB07D" w14:textId="1A0AEE01" w:rsidR="00CF3347" w:rsidRPr="00B96620" w:rsidRDefault="00CF3347" w:rsidP="00CF3347">
      <w:pPr>
        <w:pStyle w:val="Bibliography"/>
        <w:rPr>
          <w:rFonts w:asciiTheme="majorHAnsi" w:hAnsiTheme="majorHAnsi" w:cs="Times New Roman"/>
          <w:sz w:val="28"/>
        </w:rPr>
      </w:pPr>
      <w:r w:rsidRPr="00B96620">
        <w:rPr>
          <w:rFonts w:asciiTheme="majorHAnsi" w:hAnsiTheme="majorHAnsi" w:cs="Times New Roman"/>
          <w:sz w:val="28"/>
        </w:rPr>
        <w:t>Novo Holdings</w:t>
      </w:r>
      <w:r w:rsidR="005F3147">
        <w:rPr>
          <w:rFonts w:asciiTheme="majorHAnsi" w:hAnsiTheme="majorHAnsi" w:cs="Times New Roman"/>
          <w:sz w:val="28"/>
        </w:rPr>
        <w:t>.</w:t>
      </w:r>
      <w:r w:rsidRPr="00B96620">
        <w:rPr>
          <w:rFonts w:asciiTheme="majorHAnsi" w:hAnsiTheme="majorHAnsi" w:cs="Times New Roman"/>
          <w:sz w:val="28"/>
        </w:rPr>
        <w:t xml:space="preserve"> (2024)</w:t>
      </w:r>
      <w:r w:rsidR="005F3147">
        <w:rPr>
          <w:rFonts w:asciiTheme="majorHAnsi" w:hAnsiTheme="majorHAnsi" w:cs="Times New Roman"/>
          <w:sz w:val="28"/>
        </w:rPr>
        <w:t>.</w:t>
      </w:r>
      <w:r w:rsidRPr="00B96620">
        <w:rPr>
          <w:rFonts w:asciiTheme="majorHAnsi" w:hAnsiTheme="majorHAnsi" w:cs="Times New Roman"/>
          <w:sz w:val="28"/>
        </w:rPr>
        <w:t xml:space="preserve"> </w:t>
      </w:r>
      <w:r w:rsidRPr="00B96620">
        <w:rPr>
          <w:rFonts w:asciiTheme="majorHAnsi" w:hAnsiTheme="majorHAnsi" w:cs="Times New Roman"/>
          <w:i/>
          <w:iCs/>
          <w:sz w:val="28"/>
        </w:rPr>
        <w:t>Novo Holdings Invests in UK-Listed Oxford Nanopore Technologies</w:t>
      </w:r>
      <w:r w:rsidRPr="00B96620">
        <w:rPr>
          <w:rFonts w:asciiTheme="majorHAnsi" w:hAnsiTheme="majorHAnsi" w:cs="Times New Roman"/>
          <w:sz w:val="28"/>
        </w:rPr>
        <w:t>. Available at: https://www.prnewswire.com/news-releases/novo-holdings-invests-in-uk-listed-oxford-nanopore-technologies-302211684.html (Accessed: 28 February 2026).</w:t>
      </w:r>
    </w:p>
    <w:p w14:paraId="1B818A32" w14:textId="6D27DEF9" w:rsidR="00CF3347" w:rsidRPr="00B96620" w:rsidRDefault="00CF3347" w:rsidP="00CF3347">
      <w:pPr>
        <w:pStyle w:val="Bibliography"/>
        <w:rPr>
          <w:rFonts w:asciiTheme="majorHAnsi" w:hAnsiTheme="majorHAnsi" w:cs="Times New Roman"/>
          <w:sz w:val="28"/>
        </w:rPr>
      </w:pPr>
      <w:r w:rsidRPr="00B96620">
        <w:rPr>
          <w:rFonts w:asciiTheme="majorHAnsi" w:hAnsiTheme="majorHAnsi" w:cs="Times New Roman"/>
          <w:sz w:val="28"/>
        </w:rPr>
        <w:t>Oxford Nanopore Technologies</w:t>
      </w:r>
      <w:r w:rsidR="005F3147">
        <w:rPr>
          <w:rFonts w:asciiTheme="majorHAnsi" w:hAnsiTheme="majorHAnsi" w:cs="Times New Roman"/>
          <w:sz w:val="28"/>
        </w:rPr>
        <w:t>.</w:t>
      </w:r>
      <w:r w:rsidRPr="00B96620">
        <w:rPr>
          <w:rFonts w:asciiTheme="majorHAnsi" w:hAnsiTheme="majorHAnsi" w:cs="Times New Roman"/>
          <w:sz w:val="28"/>
        </w:rPr>
        <w:t xml:space="preserve"> (2025a)</w:t>
      </w:r>
      <w:r w:rsidR="005F3147">
        <w:rPr>
          <w:rFonts w:asciiTheme="majorHAnsi" w:hAnsiTheme="majorHAnsi" w:cs="Times New Roman"/>
          <w:sz w:val="28"/>
        </w:rPr>
        <w:t>.</w:t>
      </w:r>
      <w:r w:rsidRPr="00B96620">
        <w:rPr>
          <w:rFonts w:asciiTheme="majorHAnsi" w:hAnsiTheme="majorHAnsi" w:cs="Times New Roman"/>
          <w:sz w:val="28"/>
        </w:rPr>
        <w:t xml:space="preserve"> </w:t>
      </w:r>
      <w:r w:rsidRPr="00B96620">
        <w:rPr>
          <w:rFonts w:asciiTheme="majorHAnsi" w:hAnsiTheme="majorHAnsi" w:cs="Times New Roman"/>
          <w:i/>
          <w:iCs/>
          <w:sz w:val="28"/>
        </w:rPr>
        <w:t>News article</w:t>
      </w:r>
      <w:r w:rsidRPr="00B96620">
        <w:rPr>
          <w:rFonts w:asciiTheme="majorHAnsi" w:hAnsiTheme="majorHAnsi" w:cs="Times New Roman"/>
          <w:sz w:val="28"/>
        </w:rPr>
        <w:t>. Available at: https://www.londonstockexchange.com/news-article/ONT/annual-results-for-the-year-ended-31-december-2024/about:blank (Accessed: 4 March 2026).</w:t>
      </w:r>
    </w:p>
    <w:p w14:paraId="539F7163" w14:textId="386F6F5A" w:rsidR="00CF3347" w:rsidRPr="00B96620" w:rsidRDefault="00CF3347" w:rsidP="00CF3347">
      <w:pPr>
        <w:pStyle w:val="Bibliography"/>
        <w:rPr>
          <w:rFonts w:asciiTheme="majorHAnsi" w:hAnsiTheme="majorHAnsi" w:cs="Times New Roman"/>
          <w:sz w:val="28"/>
        </w:rPr>
      </w:pPr>
      <w:r w:rsidRPr="00B96620">
        <w:rPr>
          <w:rFonts w:asciiTheme="majorHAnsi" w:hAnsiTheme="majorHAnsi" w:cs="Times New Roman"/>
          <w:sz w:val="28"/>
        </w:rPr>
        <w:t>Oxford Nanopore Technologies</w:t>
      </w:r>
      <w:r w:rsidR="005F3147">
        <w:rPr>
          <w:rFonts w:asciiTheme="majorHAnsi" w:hAnsiTheme="majorHAnsi" w:cs="Times New Roman"/>
          <w:sz w:val="28"/>
        </w:rPr>
        <w:t>.</w:t>
      </w:r>
      <w:r w:rsidRPr="00B96620">
        <w:rPr>
          <w:rFonts w:asciiTheme="majorHAnsi" w:hAnsiTheme="majorHAnsi" w:cs="Times New Roman"/>
          <w:sz w:val="28"/>
        </w:rPr>
        <w:t xml:space="preserve"> (2025b)</w:t>
      </w:r>
      <w:r w:rsidR="005F3147">
        <w:rPr>
          <w:rFonts w:asciiTheme="majorHAnsi" w:hAnsiTheme="majorHAnsi" w:cs="Times New Roman"/>
          <w:sz w:val="28"/>
        </w:rPr>
        <w:t>.</w:t>
      </w:r>
      <w:r w:rsidRPr="00B96620">
        <w:rPr>
          <w:rFonts w:asciiTheme="majorHAnsi" w:hAnsiTheme="majorHAnsi" w:cs="Times New Roman"/>
          <w:sz w:val="28"/>
        </w:rPr>
        <w:t xml:space="preserve"> </w:t>
      </w:r>
      <w:r w:rsidRPr="00B96620">
        <w:rPr>
          <w:rFonts w:asciiTheme="majorHAnsi" w:hAnsiTheme="majorHAnsi" w:cs="Times New Roman"/>
          <w:i/>
          <w:iCs/>
          <w:sz w:val="28"/>
        </w:rPr>
        <w:t>Oxford Nanopore Technologies LinkedIn</w:t>
      </w:r>
      <w:r w:rsidRPr="00B96620">
        <w:rPr>
          <w:rFonts w:asciiTheme="majorHAnsi" w:hAnsiTheme="majorHAnsi" w:cs="Times New Roman"/>
          <w:sz w:val="28"/>
        </w:rPr>
        <w:t>. Available at: https://www.linkedin.com/company/oxford-nanopore-technologies (Accessed: 28 February 2026).</w:t>
      </w:r>
    </w:p>
    <w:p w14:paraId="26CDB8E9" w14:textId="430451A3" w:rsidR="00CF3347" w:rsidRPr="00B96620" w:rsidRDefault="00CF3347" w:rsidP="00CF3347">
      <w:pPr>
        <w:pStyle w:val="Bibliography"/>
        <w:rPr>
          <w:rFonts w:asciiTheme="majorHAnsi" w:hAnsiTheme="majorHAnsi" w:cs="Times New Roman"/>
          <w:sz w:val="28"/>
        </w:rPr>
      </w:pPr>
      <w:r w:rsidRPr="00B96620">
        <w:rPr>
          <w:rFonts w:asciiTheme="majorHAnsi" w:hAnsiTheme="majorHAnsi" w:cs="Times New Roman"/>
          <w:sz w:val="28"/>
        </w:rPr>
        <w:t>Sanghera, G</w:t>
      </w:r>
      <w:r w:rsidR="005F3147">
        <w:rPr>
          <w:rFonts w:asciiTheme="majorHAnsi" w:hAnsiTheme="majorHAnsi" w:cs="Times New Roman"/>
          <w:sz w:val="28"/>
        </w:rPr>
        <w:t>.</w:t>
      </w:r>
      <w:r w:rsidRPr="00B96620">
        <w:rPr>
          <w:rFonts w:asciiTheme="majorHAnsi" w:hAnsiTheme="majorHAnsi" w:cs="Times New Roman"/>
          <w:sz w:val="28"/>
        </w:rPr>
        <w:t xml:space="preserve"> (2024)</w:t>
      </w:r>
      <w:r w:rsidR="005F3147">
        <w:rPr>
          <w:rFonts w:asciiTheme="majorHAnsi" w:hAnsiTheme="majorHAnsi" w:cs="Times New Roman"/>
          <w:sz w:val="28"/>
        </w:rPr>
        <w:t>.</w:t>
      </w:r>
      <w:r w:rsidRPr="00B96620">
        <w:rPr>
          <w:rFonts w:asciiTheme="majorHAnsi" w:hAnsiTheme="majorHAnsi" w:cs="Times New Roman"/>
          <w:sz w:val="28"/>
        </w:rPr>
        <w:t xml:space="preserve"> </w:t>
      </w:r>
      <w:r w:rsidRPr="00B96620">
        <w:rPr>
          <w:rFonts w:asciiTheme="majorHAnsi" w:hAnsiTheme="majorHAnsi" w:cs="Times New Roman"/>
          <w:i/>
          <w:iCs/>
          <w:sz w:val="28"/>
        </w:rPr>
        <w:t>Preliminary results for the year ended 31 December 2023</w:t>
      </w:r>
      <w:r w:rsidRPr="00B96620">
        <w:rPr>
          <w:rFonts w:asciiTheme="majorHAnsi" w:hAnsiTheme="majorHAnsi" w:cs="Times New Roman"/>
          <w:sz w:val="28"/>
        </w:rPr>
        <w:t xml:space="preserve">, </w:t>
      </w:r>
      <w:r w:rsidRPr="00B96620">
        <w:rPr>
          <w:rFonts w:asciiTheme="majorHAnsi" w:hAnsiTheme="majorHAnsi" w:cs="Times New Roman"/>
          <w:i/>
          <w:iCs/>
          <w:sz w:val="28"/>
        </w:rPr>
        <w:t>Oxford Nanopore Technologies</w:t>
      </w:r>
      <w:r w:rsidRPr="00B96620">
        <w:rPr>
          <w:rFonts w:asciiTheme="majorHAnsi" w:hAnsiTheme="majorHAnsi" w:cs="Times New Roman"/>
          <w:sz w:val="28"/>
        </w:rPr>
        <w:t>. Available at: https://nanoporetech.com/news/news-preliminary-results-year-ended-31-december-2023 (Accessed: 3 March 2026).</w:t>
      </w:r>
    </w:p>
    <w:p w14:paraId="2B2BC9AD" w14:textId="6DFC9114" w:rsidR="00CD3CA6" w:rsidRPr="00B96620" w:rsidRDefault="009B6F4E" w:rsidP="00CD3CA6">
      <w:pPr>
        <w:rPr>
          <w:rFonts w:asciiTheme="majorHAnsi" w:hAnsiTheme="majorHAnsi" w:cs="Times New Roman"/>
          <w:sz w:val="28"/>
          <w:szCs w:val="28"/>
        </w:rPr>
      </w:pPr>
      <w:r w:rsidRPr="00B96620">
        <w:rPr>
          <w:rFonts w:asciiTheme="majorHAnsi" w:hAnsiTheme="majorHAnsi" w:cs="Times New Roman"/>
          <w:sz w:val="28"/>
          <w:szCs w:val="28"/>
        </w:rPr>
        <w:fldChar w:fldCharType="end"/>
      </w:r>
    </w:p>
    <w:sectPr w:rsidR="00CD3CA6" w:rsidRPr="00B966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44A64"/>
    <w:multiLevelType w:val="hybridMultilevel"/>
    <w:tmpl w:val="4C026BF2"/>
    <w:lvl w:ilvl="0" w:tplc="08090001">
      <w:start w:val="1"/>
      <w:numFmt w:val="bullet"/>
      <w:lvlText w:val=""/>
      <w:lvlJc w:val="left"/>
      <w:pPr>
        <w:ind w:left="764" w:hanging="360"/>
      </w:pPr>
      <w:rPr>
        <w:rFonts w:ascii="Symbol" w:hAnsi="Symbol" w:hint="default"/>
      </w:rPr>
    </w:lvl>
    <w:lvl w:ilvl="1" w:tplc="08090003">
      <w:start w:val="1"/>
      <w:numFmt w:val="bullet"/>
      <w:lvlText w:val="o"/>
      <w:lvlJc w:val="left"/>
      <w:pPr>
        <w:ind w:left="1484" w:hanging="360"/>
      </w:pPr>
      <w:rPr>
        <w:rFonts w:ascii="Courier New" w:hAnsi="Courier New" w:cs="Courier New" w:hint="default"/>
      </w:rPr>
    </w:lvl>
    <w:lvl w:ilvl="2" w:tplc="08090005" w:tentative="1">
      <w:start w:val="1"/>
      <w:numFmt w:val="bullet"/>
      <w:lvlText w:val=""/>
      <w:lvlJc w:val="left"/>
      <w:pPr>
        <w:ind w:left="2204" w:hanging="360"/>
      </w:pPr>
      <w:rPr>
        <w:rFonts w:ascii="Wingdings" w:hAnsi="Wingdings" w:hint="default"/>
      </w:rPr>
    </w:lvl>
    <w:lvl w:ilvl="3" w:tplc="08090001" w:tentative="1">
      <w:start w:val="1"/>
      <w:numFmt w:val="bullet"/>
      <w:lvlText w:val=""/>
      <w:lvlJc w:val="left"/>
      <w:pPr>
        <w:ind w:left="2924" w:hanging="360"/>
      </w:pPr>
      <w:rPr>
        <w:rFonts w:ascii="Symbol" w:hAnsi="Symbol" w:hint="default"/>
      </w:rPr>
    </w:lvl>
    <w:lvl w:ilvl="4" w:tplc="08090003" w:tentative="1">
      <w:start w:val="1"/>
      <w:numFmt w:val="bullet"/>
      <w:lvlText w:val="o"/>
      <w:lvlJc w:val="left"/>
      <w:pPr>
        <w:ind w:left="3644" w:hanging="360"/>
      </w:pPr>
      <w:rPr>
        <w:rFonts w:ascii="Courier New" w:hAnsi="Courier New" w:cs="Courier New" w:hint="default"/>
      </w:rPr>
    </w:lvl>
    <w:lvl w:ilvl="5" w:tplc="08090005" w:tentative="1">
      <w:start w:val="1"/>
      <w:numFmt w:val="bullet"/>
      <w:lvlText w:val=""/>
      <w:lvlJc w:val="left"/>
      <w:pPr>
        <w:ind w:left="4364" w:hanging="360"/>
      </w:pPr>
      <w:rPr>
        <w:rFonts w:ascii="Wingdings" w:hAnsi="Wingdings" w:hint="default"/>
      </w:rPr>
    </w:lvl>
    <w:lvl w:ilvl="6" w:tplc="08090001" w:tentative="1">
      <w:start w:val="1"/>
      <w:numFmt w:val="bullet"/>
      <w:lvlText w:val=""/>
      <w:lvlJc w:val="left"/>
      <w:pPr>
        <w:ind w:left="5084" w:hanging="360"/>
      </w:pPr>
      <w:rPr>
        <w:rFonts w:ascii="Symbol" w:hAnsi="Symbol" w:hint="default"/>
      </w:rPr>
    </w:lvl>
    <w:lvl w:ilvl="7" w:tplc="08090003" w:tentative="1">
      <w:start w:val="1"/>
      <w:numFmt w:val="bullet"/>
      <w:lvlText w:val="o"/>
      <w:lvlJc w:val="left"/>
      <w:pPr>
        <w:ind w:left="5804" w:hanging="360"/>
      </w:pPr>
      <w:rPr>
        <w:rFonts w:ascii="Courier New" w:hAnsi="Courier New" w:cs="Courier New" w:hint="default"/>
      </w:rPr>
    </w:lvl>
    <w:lvl w:ilvl="8" w:tplc="08090005" w:tentative="1">
      <w:start w:val="1"/>
      <w:numFmt w:val="bullet"/>
      <w:lvlText w:val=""/>
      <w:lvlJc w:val="left"/>
      <w:pPr>
        <w:ind w:left="6524" w:hanging="360"/>
      </w:pPr>
      <w:rPr>
        <w:rFonts w:ascii="Wingdings" w:hAnsi="Wingdings" w:hint="default"/>
      </w:rPr>
    </w:lvl>
  </w:abstractNum>
  <w:abstractNum w:abstractNumId="1" w15:restartNumberingAfterBreak="0">
    <w:nsid w:val="13392726"/>
    <w:multiLevelType w:val="hybridMultilevel"/>
    <w:tmpl w:val="3556A4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9193A97"/>
    <w:multiLevelType w:val="multilevel"/>
    <w:tmpl w:val="C718886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3FD164AE"/>
    <w:multiLevelType w:val="multilevel"/>
    <w:tmpl w:val="677A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B6118C"/>
    <w:multiLevelType w:val="multilevel"/>
    <w:tmpl w:val="9870A6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33185216">
    <w:abstractNumId w:val="4"/>
  </w:num>
  <w:num w:numId="2" w16cid:durableId="1447582352">
    <w:abstractNumId w:val="2"/>
  </w:num>
  <w:num w:numId="3" w16cid:durableId="2090760690">
    <w:abstractNumId w:val="1"/>
  </w:num>
  <w:num w:numId="4" w16cid:durableId="1214469292">
    <w:abstractNumId w:val="0"/>
  </w:num>
  <w:num w:numId="5" w16cid:durableId="12004396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ocumentProtection w:edit="trackedChanges"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CA6"/>
    <w:rsid w:val="00032723"/>
    <w:rsid w:val="00045F80"/>
    <w:rsid w:val="0006589A"/>
    <w:rsid w:val="00072CD5"/>
    <w:rsid w:val="00074166"/>
    <w:rsid w:val="000820F6"/>
    <w:rsid w:val="000A4002"/>
    <w:rsid w:val="000C1938"/>
    <w:rsid w:val="000C7AF7"/>
    <w:rsid w:val="000E595B"/>
    <w:rsid w:val="000F1E1B"/>
    <w:rsid w:val="00106534"/>
    <w:rsid w:val="00170FEF"/>
    <w:rsid w:val="0018731B"/>
    <w:rsid w:val="001B7F98"/>
    <w:rsid w:val="001C16A3"/>
    <w:rsid w:val="001D463B"/>
    <w:rsid w:val="001F11D4"/>
    <w:rsid w:val="001F2C5F"/>
    <w:rsid w:val="00241E19"/>
    <w:rsid w:val="002743EC"/>
    <w:rsid w:val="002B1EA2"/>
    <w:rsid w:val="002C3426"/>
    <w:rsid w:val="002F40A6"/>
    <w:rsid w:val="00330A12"/>
    <w:rsid w:val="00341C06"/>
    <w:rsid w:val="00356D6E"/>
    <w:rsid w:val="003606AE"/>
    <w:rsid w:val="00370A16"/>
    <w:rsid w:val="00394F70"/>
    <w:rsid w:val="00396DFE"/>
    <w:rsid w:val="003A57AB"/>
    <w:rsid w:val="0041172C"/>
    <w:rsid w:val="00457F5B"/>
    <w:rsid w:val="00480FD1"/>
    <w:rsid w:val="004B0770"/>
    <w:rsid w:val="004E559A"/>
    <w:rsid w:val="004F156C"/>
    <w:rsid w:val="004F7140"/>
    <w:rsid w:val="00503425"/>
    <w:rsid w:val="005034B7"/>
    <w:rsid w:val="005347FB"/>
    <w:rsid w:val="00566018"/>
    <w:rsid w:val="005722E2"/>
    <w:rsid w:val="00581D0E"/>
    <w:rsid w:val="005C0501"/>
    <w:rsid w:val="005C1759"/>
    <w:rsid w:val="005E323C"/>
    <w:rsid w:val="005F3147"/>
    <w:rsid w:val="00624D61"/>
    <w:rsid w:val="006C45C5"/>
    <w:rsid w:val="006E0DB1"/>
    <w:rsid w:val="00710A27"/>
    <w:rsid w:val="00722FF2"/>
    <w:rsid w:val="00740DEA"/>
    <w:rsid w:val="007B2503"/>
    <w:rsid w:val="007B350F"/>
    <w:rsid w:val="007C3484"/>
    <w:rsid w:val="007D3B1D"/>
    <w:rsid w:val="007F7BC3"/>
    <w:rsid w:val="00865509"/>
    <w:rsid w:val="00867A10"/>
    <w:rsid w:val="00877FBB"/>
    <w:rsid w:val="00880CA9"/>
    <w:rsid w:val="008B5CE8"/>
    <w:rsid w:val="008E644B"/>
    <w:rsid w:val="00905DA1"/>
    <w:rsid w:val="00915181"/>
    <w:rsid w:val="0094659F"/>
    <w:rsid w:val="009627BA"/>
    <w:rsid w:val="009862EF"/>
    <w:rsid w:val="00995C71"/>
    <w:rsid w:val="009973FF"/>
    <w:rsid w:val="009B6F4E"/>
    <w:rsid w:val="009D3E37"/>
    <w:rsid w:val="00A301E3"/>
    <w:rsid w:val="00A66AEC"/>
    <w:rsid w:val="00A9262B"/>
    <w:rsid w:val="00AA1E7B"/>
    <w:rsid w:val="00AA448B"/>
    <w:rsid w:val="00AB13BA"/>
    <w:rsid w:val="00AC5E60"/>
    <w:rsid w:val="00AC7D8B"/>
    <w:rsid w:val="00AD7E63"/>
    <w:rsid w:val="00AF5472"/>
    <w:rsid w:val="00B37DEA"/>
    <w:rsid w:val="00B96620"/>
    <w:rsid w:val="00B96DE1"/>
    <w:rsid w:val="00BB5D25"/>
    <w:rsid w:val="00BC11C3"/>
    <w:rsid w:val="00BD3F66"/>
    <w:rsid w:val="00C314DF"/>
    <w:rsid w:val="00C31A5E"/>
    <w:rsid w:val="00C467D7"/>
    <w:rsid w:val="00C77D7F"/>
    <w:rsid w:val="00C847F4"/>
    <w:rsid w:val="00CB292A"/>
    <w:rsid w:val="00CC128D"/>
    <w:rsid w:val="00CD3CA6"/>
    <w:rsid w:val="00CD5C65"/>
    <w:rsid w:val="00CF3347"/>
    <w:rsid w:val="00D10004"/>
    <w:rsid w:val="00D1777D"/>
    <w:rsid w:val="00D21054"/>
    <w:rsid w:val="00D358D0"/>
    <w:rsid w:val="00D91FCF"/>
    <w:rsid w:val="00DB5E5A"/>
    <w:rsid w:val="00DB7DBE"/>
    <w:rsid w:val="00DD483B"/>
    <w:rsid w:val="00E0615A"/>
    <w:rsid w:val="00E207B9"/>
    <w:rsid w:val="00E22F99"/>
    <w:rsid w:val="00E32067"/>
    <w:rsid w:val="00E35470"/>
    <w:rsid w:val="00E46443"/>
    <w:rsid w:val="00E50A81"/>
    <w:rsid w:val="00E52220"/>
    <w:rsid w:val="00E54FA1"/>
    <w:rsid w:val="00E6351D"/>
    <w:rsid w:val="00E81DE8"/>
    <w:rsid w:val="00E96C1F"/>
    <w:rsid w:val="00EA1C26"/>
    <w:rsid w:val="00EA4EFE"/>
    <w:rsid w:val="00ED61AE"/>
    <w:rsid w:val="00EF371C"/>
    <w:rsid w:val="00EF64C1"/>
    <w:rsid w:val="00EF6D5F"/>
    <w:rsid w:val="00F1206D"/>
    <w:rsid w:val="00F131A0"/>
    <w:rsid w:val="00F22D66"/>
    <w:rsid w:val="00F623FC"/>
    <w:rsid w:val="00FC06A3"/>
    <w:rsid w:val="00FC633F"/>
    <w:rsid w:val="00FE6357"/>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1CA3A"/>
  <w15:chartTrackingRefBased/>
  <w15:docId w15:val="{AE85A098-148C-4B58-8AF8-2AE307FD0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3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3C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C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C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C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3C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3C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C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C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CA6"/>
    <w:rPr>
      <w:rFonts w:eastAsiaTheme="majorEastAsia" w:cstheme="majorBidi"/>
      <w:color w:val="272727" w:themeColor="text1" w:themeTint="D8"/>
    </w:rPr>
  </w:style>
  <w:style w:type="paragraph" w:styleId="Title">
    <w:name w:val="Title"/>
    <w:basedOn w:val="Normal"/>
    <w:next w:val="Normal"/>
    <w:link w:val="TitleChar"/>
    <w:uiPriority w:val="10"/>
    <w:qFormat/>
    <w:rsid w:val="00CD3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CA6"/>
    <w:pPr>
      <w:spacing w:before="160"/>
      <w:jc w:val="center"/>
    </w:pPr>
    <w:rPr>
      <w:i/>
      <w:iCs/>
      <w:color w:val="404040" w:themeColor="text1" w:themeTint="BF"/>
    </w:rPr>
  </w:style>
  <w:style w:type="character" w:customStyle="1" w:styleId="QuoteChar">
    <w:name w:val="Quote Char"/>
    <w:basedOn w:val="DefaultParagraphFont"/>
    <w:link w:val="Quote"/>
    <w:uiPriority w:val="29"/>
    <w:rsid w:val="00CD3CA6"/>
    <w:rPr>
      <w:i/>
      <w:iCs/>
      <w:color w:val="404040" w:themeColor="text1" w:themeTint="BF"/>
    </w:rPr>
  </w:style>
  <w:style w:type="paragraph" w:styleId="ListParagraph">
    <w:name w:val="List Paragraph"/>
    <w:basedOn w:val="Normal"/>
    <w:uiPriority w:val="34"/>
    <w:qFormat/>
    <w:rsid w:val="00CD3CA6"/>
    <w:pPr>
      <w:ind w:left="720"/>
      <w:contextualSpacing/>
    </w:pPr>
  </w:style>
  <w:style w:type="character" w:styleId="IntenseEmphasis">
    <w:name w:val="Intense Emphasis"/>
    <w:basedOn w:val="DefaultParagraphFont"/>
    <w:uiPriority w:val="21"/>
    <w:qFormat/>
    <w:rsid w:val="00CD3CA6"/>
    <w:rPr>
      <w:i/>
      <w:iCs/>
      <w:color w:val="0F4761" w:themeColor="accent1" w:themeShade="BF"/>
    </w:rPr>
  </w:style>
  <w:style w:type="paragraph" w:styleId="IntenseQuote">
    <w:name w:val="Intense Quote"/>
    <w:basedOn w:val="Normal"/>
    <w:next w:val="Normal"/>
    <w:link w:val="IntenseQuoteChar"/>
    <w:uiPriority w:val="30"/>
    <w:qFormat/>
    <w:rsid w:val="00CD3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CA6"/>
    <w:rPr>
      <w:i/>
      <w:iCs/>
      <w:color w:val="0F4761" w:themeColor="accent1" w:themeShade="BF"/>
    </w:rPr>
  </w:style>
  <w:style w:type="character" w:styleId="IntenseReference">
    <w:name w:val="Intense Reference"/>
    <w:basedOn w:val="DefaultParagraphFont"/>
    <w:uiPriority w:val="32"/>
    <w:qFormat/>
    <w:rsid w:val="00CD3CA6"/>
    <w:rPr>
      <w:b/>
      <w:bCs/>
      <w:smallCaps/>
      <w:color w:val="0F4761" w:themeColor="accent1" w:themeShade="BF"/>
      <w:spacing w:val="5"/>
    </w:rPr>
  </w:style>
  <w:style w:type="paragraph" w:styleId="Revision">
    <w:name w:val="Revision"/>
    <w:hidden/>
    <w:uiPriority w:val="99"/>
    <w:semiHidden/>
    <w:rsid w:val="005E323C"/>
    <w:pPr>
      <w:spacing w:after="0" w:line="240" w:lineRule="auto"/>
    </w:pPr>
  </w:style>
  <w:style w:type="character" w:styleId="Hyperlink">
    <w:name w:val="Hyperlink"/>
    <w:basedOn w:val="DefaultParagraphFont"/>
    <w:uiPriority w:val="99"/>
    <w:unhideWhenUsed/>
    <w:rsid w:val="009D3E37"/>
    <w:rPr>
      <w:color w:val="0563C1"/>
      <w:u w:val="single"/>
    </w:rPr>
  </w:style>
  <w:style w:type="paragraph" w:styleId="Bibliography">
    <w:name w:val="Bibliography"/>
    <w:basedOn w:val="Normal"/>
    <w:next w:val="Normal"/>
    <w:uiPriority w:val="37"/>
    <w:unhideWhenUsed/>
    <w:rsid w:val="009B6F4E"/>
    <w:pPr>
      <w:spacing w:after="240" w:line="240" w:lineRule="auto"/>
    </w:pPr>
  </w:style>
  <w:style w:type="character" w:styleId="UnresolvedMention">
    <w:name w:val="Unresolved Mention"/>
    <w:basedOn w:val="DefaultParagraphFont"/>
    <w:uiPriority w:val="99"/>
    <w:semiHidden/>
    <w:unhideWhenUsed/>
    <w:rsid w:val="00BD3F66"/>
    <w:rPr>
      <w:color w:val="605E5C"/>
      <w:shd w:val="clear" w:color="auto" w:fill="E1DFDD"/>
    </w:rPr>
  </w:style>
  <w:style w:type="table" w:styleId="TableGrid">
    <w:name w:val="Table Grid"/>
    <w:basedOn w:val="TableNormal"/>
    <w:uiPriority w:val="39"/>
    <w:rsid w:val="00330A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hyperlink" Target="https://gemini.google.com/app"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www.grammarly.com"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gemini.google.com/app"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05176543CEA648A03F36C69725B630" ma:contentTypeVersion="11" ma:contentTypeDescription="Create a new document." ma:contentTypeScope="" ma:versionID="bffe3db46bfd9f54cdc664f8affccf5e">
  <xsd:schema xmlns:xsd="http://www.w3.org/2001/XMLSchema" xmlns:xs="http://www.w3.org/2001/XMLSchema" xmlns:p="http://schemas.microsoft.com/office/2006/metadata/properties" xmlns:ns2="15aedd61-1d10-4cdc-ba81-93538ce7bf1d" xmlns:ns3="97f3aae6-35ff-4a7c-bb02-87ec59b5a4fe" targetNamespace="http://schemas.microsoft.com/office/2006/metadata/properties" ma:root="true" ma:fieldsID="acab8497f5e014370726aa7b60c9b2e4" ns2:_="" ns3:_="">
    <xsd:import namespace="15aedd61-1d10-4cdc-ba81-93538ce7bf1d"/>
    <xsd:import namespace="97f3aae6-35ff-4a7c-bb02-87ec59b5a4f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aedd61-1d10-4cdc-ba81-93538ce7bf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2edd95a-f8c2-4715-9b78-af595b67b1e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7f3aae6-35ff-4a7c-bb02-87ec59b5a4f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7005948-6920-47ec-8e2f-3d6345d78170}" ma:internalName="TaxCatchAll" ma:showField="CatchAllData" ma:web="97f3aae6-35ff-4a7c-bb02-87ec59b5a4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97f3aae6-35ff-4a7c-bb02-87ec59b5a4fe" xsi:nil="true"/>
    <lcf76f155ced4ddcb4097134ff3c332f xmlns="15aedd61-1d10-4cdc-ba81-93538ce7bf1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7B256-A7F9-4DBB-9616-0BC7447563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aedd61-1d10-4cdc-ba81-93538ce7bf1d"/>
    <ds:schemaRef ds:uri="97f3aae6-35ff-4a7c-bb02-87ec59b5a4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6E27CF-2969-4DB0-9D3C-62DD1A7B7BC5}">
  <ds:schemaRefs>
    <ds:schemaRef ds:uri="http://schemas.microsoft.com/office/2006/metadata/properties"/>
    <ds:schemaRef ds:uri="http://schemas.microsoft.com/office/infopath/2007/PartnerControls"/>
    <ds:schemaRef ds:uri="97f3aae6-35ff-4a7c-bb02-87ec59b5a4fe"/>
    <ds:schemaRef ds:uri="15aedd61-1d10-4cdc-ba81-93538ce7bf1d"/>
  </ds:schemaRefs>
</ds:datastoreItem>
</file>

<file path=customXml/itemProps3.xml><?xml version="1.0" encoding="utf-8"?>
<ds:datastoreItem xmlns:ds="http://schemas.openxmlformats.org/officeDocument/2006/customXml" ds:itemID="{BA2A2567-0B80-48E5-9FF8-31A1E2FBE31C}">
  <ds:schemaRefs>
    <ds:schemaRef ds:uri="http://schemas.microsoft.com/sharepoint/v3/contenttype/forms"/>
  </ds:schemaRefs>
</ds:datastoreItem>
</file>

<file path=customXml/itemProps4.xml><?xml version="1.0" encoding="utf-8"?>
<ds:datastoreItem xmlns:ds="http://schemas.openxmlformats.org/officeDocument/2006/customXml" ds:itemID="{91CED168-CBB7-47E7-B37F-A36F66B6C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1600</TotalTime>
  <Pages>13</Pages>
  <Words>4656</Words>
  <Characters>26541</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UWE Bristol</Company>
  <LinksUpToDate>false</LinksUpToDate>
  <CharactersWithSpaces>31135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Demelza Pilgrim</dc:creator>
  <cp:keywords/>
  <dc:description/>
  <cp:lastModifiedBy>Binh Nguyen</cp:lastModifiedBy>
  <cp:revision>20</cp:revision>
  <cp:lastPrinted>2026-03-05T04:41:00Z</cp:lastPrinted>
  <dcterms:created xsi:type="dcterms:W3CDTF">2026-02-28T02:28:00Z</dcterms:created>
  <dcterms:modified xsi:type="dcterms:W3CDTF">2026-03-05T04:49:00Z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0x0101007C05176543CEA648A03F36C69725B630</vt:lpwstr>
  </property>
  <property fmtid="{D5CDD505-2E9C-101B-9397-08002B2CF9AE}" pid="3" name="GrammarlyDocumentId">
    <vt:lpwstr>3c571275-556a-46c6-98a4-ad8421780883</vt:lpwstr>
  </property>
  <property fmtid="{D5CDD505-2E9C-101B-9397-08002B2CF9AE}" pid="4" name="ZOTERO_PREF_1">
    <vt:lpwstr>&lt;data data-version="3" zotero-version="7.0.32"&gt;&lt;session id="BYsmeuOM"/&gt;&lt;style id="http://www.zotero.org/styles/harvard-cite-them-right" locale="en-GB" hasBibliography="1" bibliographyStyleHasBeenSet="1"/&gt;&lt;prefs&gt;&lt;pref name="fieldType" value="Field"/&gt;&lt;pref </vt:lpwstr>
  </property>
  <property fmtid="{D5CDD505-2E9C-101B-9397-08002B2CF9AE}" pid="5" name="ZOTERO_PREF_2">
    <vt:lpwstr>name="automaticJournalAbbreviations" value="true"/&gt;&lt;/prefs&gt;&lt;/data&gt;</vt:lpwstr>
  </property>
</Properties>
</file>