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7965" w14:textId="77777777" w:rsidR="009E3CCB" w:rsidRPr="009E3CCB" w:rsidRDefault="009E3CCB" w:rsidP="009E3CCB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9E3CCB">
        <w:rPr>
          <w:b/>
          <w:bCs/>
        </w:rPr>
        <w:t>Financial Analysis Report</w:t>
      </w:r>
    </w:p>
    <w:p w14:paraId="43E8EE02" w14:textId="77777777" w:rsidR="009E3CCB" w:rsidRPr="009E3CCB" w:rsidRDefault="009E3CCB" w:rsidP="009E3CCB">
      <w:r w:rsidRPr="009E3CCB">
        <w:t>Student Number: 25062677 - 10240511</w:t>
      </w:r>
    </w:p>
    <w:p w14:paraId="59FFA628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Section 1: Overview</w:t>
      </w:r>
    </w:p>
    <w:p w14:paraId="3F9627CB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1.1 Company Information</w:t>
      </w:r>
    </w:p>
    <w:p w14:paraId="7E8179B9" w14:textId="77777777" w:rsidR="009E3CCB" w:rsidRPr="009E3CCB" w:rsidRDefault="009E3CCB" w:rsidP="009E3CCB">
      <w:r w:rsidRPr="009E3CCB">
        <w:t xml:space="preserve">Oxford Nanopore Technologies PLC (ONT) is a UK-based biotechnology firm specializing in the design and commercialization of proprietary molecular sensing technologies. Founded in 2005 as a University of Oxford spin-out </w:t>
      </w:r>
      <w:r w:rsidRPr="009E3CCB">
        <w:rPr>
          <w:vertAlign w:val="superscript"/>
        </w:rPr>
        <w:t>1</w:t>
      </w:r>
      <w:r w:rsidRPr="009E3CCB">
        <w:t>, the company has disrupted the genomic sequencing market by developing nanopore-based technology that enables direct, real-time, and highly scalable analysis of single DNA and RNA molecules. By eliminating traditional amplification biases, ONT’s devices—ranging from the pocket-sized MinION to the ultra-high-throughput PromethION—provide long-read data crucial for clinical oncology, pathogen surveillance, and environmental genomics.</w:t>
      </w:r>
      <w:r w:rsidRPr="009E3CCB">
        <w:rPr>
          <w:vertAlign w:val="superscript"/>
        </w:rPr>
        <w:t>2</w:t>
      </w:r>
    </w:p>
    <w:p w14:paraId="4827AC63" w14:textId="77777777" w:rsidR="009E3CCB" w:rsidRPr="009E3CCB" w:rsidRDefault="009E3CCB" w:rsidP="009E3CCB">
      <w:r w:rsidRPr="009E3CCB">
        <w:t>Operating globally, the company completed a prominent £428 million Initial Public Offering on the London Stock Exchange in 2021.</w:t>
      </w:r>
      <w:r w:rsidRPr="009E3CCB">
        <w:rPr>
          <w:vertAlign w:val="superscript"/>
        </w:rPr>
        <w:t>3</w:t>
      </w:r>
      <w:r w:rsidRPr="009E3CCB">
        <w:t xml:space="preserve"> Financially, ONT generated £183.2 million in 2024 revenue, representing an 11.1% constant currency growth driven by rapid expansion in Applied Industrial and BioPharma segments.</w:t>
      </w:r>
      <w:r w:rsidRPr="009E3CCB">
        <w:rPr>
          <w:vertAlign w:val="superscript"/>
        </w:rPr>
        <w:t>4</w:t>
      </w:r>
      <w:r w:rsidRPr="009E3CCB">
        <w:t xml:space="preserve"> Recent strategic developments through the end of 2024 include a £50 million strategic investment from Novo Holdings </w:t>
      </w:r>
      <w:r w:rsidRPr="009E3CCB">
        <w:rPr>
          <w:vertAlign w:val="superscript"/>
        </w:rPr>
        <w:t>5</w:t>
      </w:r>
      <w:r w:rsidRPr="009E3CCB">
        <w:t>, and a reaffirmed management commitment to reaching adjusted EBITDA breakeven by 2027.</w:t>
      </w:r>
      <w:r w:rsidRPr="009E3CCB">
        <w:rPr>
          <w:vertAlign w:val="superscript"/>
        </w:rPr>
        <w:t>6</w:t>
      </w:r>
    </w:p>
    <w:p w14:paraId="350D274F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1.2 Sector Analysis</w:t>
      </w:r>
    </w:p>
    <w:p w14:paraId="54A9D744" w14:textId="77777777" w:rsidR="009E3CCB" w:rsidRPr="009E3CCB" w:rsidRDefault="009E3CCB" w:rsidP="009E3CCB">
      <w:r w:rsidRPr="009E3CCB">
        <w:t>The UK Biotechnology and Life Sciences sector is a vital component of the national economy. In the 2021/2022 period, the industry generated £108.1 billion in turnover and directly employed over 300,000 professionals</w:t>
      </w:r>
      <w:proofErr w:type="gramStart"/>
      <w:r w:rsidRPr="009E3CCB">
        <w:t>.</w:t>
      </w:r>
      <w:r w:rsidRPr="009E3CCB">
        <w:rPr>
          <w:vertAlign w:val="superscript"/>
        </w:rPr>
        <w:t>7</w:t>
      </w:r>
      <w:proofErr w:type="gramEnd"/>
      <w:r w:rsidRPr="009E3CCB">
        <w:t xml:space="preserve"> The growth of the sector is primarily propelled by technological megatrends, with pharmaceutical Research and Development (R&amp;D) sustaining its relative strength, having reached £9 billion in 2023.</w:t>
      </w:r>
      <w:r w:rsidRPr="009E3CCB">
        <w:rPr>
          <w:vertAlign w:val="superscript"/>
        </w:rPr>
        <w:t>8</w:t>
      </w:r>
    </w:p>
    <w:p w14:paraId="12B4362E" w14:textId="77777777" w:rsidR="009E3CCB" w:rsidRPr="009E3CCB" w:rsidRDefault="009E3CCB" w:rsidP="009E3CCB">
      <w:r w:rsidRPr="009E3CCB">
        <w:t xml:space="preserve">Despite these structural tailwinds, the macroeconomic environment throughout 2023 and 2024 remained exceptionally challenging. Elevated inflation and sustained high interest rates compressed public equity valuations, leading to a prolonged drought in domestic IPOs—with zero life sciences IPOs in the UK during 2023. Consequently, while venture capital remained active, raising £2.24 billion in 2024 </w:t>
      </w:r>
      <w:r w:rsidRPr="009E3CCB">
        <w:rPr>
          <w:vertAlign w:val="superscript"/>
        </w:rPr>
        <w:t>9</w:t>
      </w:r>
      <w:r w:rsidRPr="009E3CCB">
        <w:t>, publicly listed life science hardware firms faced intense pressure to demonstrate rigorous cost discipline, form strategic commercial partnerships, and accelerate their trajectories toward profitability in a capital-constrained environment.</w:t>
      </w:r>
    </w:p>
    <w:p w14:paraId="268F3A76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Section 2: Financial Report</w:t>
      </w:r>
    </w:p>
    <w:p w14:paraId="5FC279BC" w14:textId="77777777" w:rsidR="009E3CCB" w:rsidRPr="009E3CCB" w:rsidRDefault="009E3CCB" w:rsidP="009E3CCB">
      <w:r w:rsidRPr="009E3CCB">
        <w:t>**</w:t>
      </w:r>
    </w:p>
    <w:p w14:paraId="42C51C54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2.1 Core Financial Ratios</w:t>
      </w:r>
    </w:p>
    <w:p w14:paraId="1EDCA619" w14:textId="77777777" w:rsidR="009E3CCB" w:rsidRPr="009E3CCB" w:rsidRDefault="009E3CCB" w:rsidP="009E3CCB">
      <w:r w:rsidRPr="009E3CCB">
        <w:t>The financial health and operational risk profile of Oxford Nanopore can be evaluated through a three-</w:t>
      </w:r>
      <w:proofErr w:type="gramStart"/>
      <w:r w:rsidRPr="009E3CCB">
        <w:t>year time</w:t>
      </w:r>
      <w:proofErr w:type="gramEnd"/>
      <w:r w:rsidRPr="009E3CCB">
        <w:t xml:space="preserve"> </w:t>
      </w:r>
      <w:proofErr w:type="gramStart"/>
      <w:r w:rsidRPr="009E3CCB">
        <w:t>series</w:t>
      </w:r>
      <w:proofErr w:type="gramEnd"/>
      <w:r w:rsidRPr="009E3CCB">
        <w:t xml:space="preserve"> analysis spanning 2022 to 2024.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749"/>
        <w:gridCol w:w="749"/>
        <w:gridCol w:w="629"/>
      </w:tblGrid>
      <w:tr w:rsidR="009E3CCB" w:rsidRPr="009E3CCB" w14:paraId="173383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DCCFEC" w14:textId="77777777" w:rsidR="009E3CCB" w:rsidRPr="009E3CCB" w:rsidRDefault="009E3CCB" w:rsidP="009E3CCB">
            <w:r w:rsidRPr="009E3CCB">
              <w:rPr>
                <w:b/>
                <w:bCs/>
              </w:rPr>
              <w:lastRenderedPageBreak/>
              <w:t>Financial Category &amp; Ratio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F21451C" w14:textId="77777777" w:rsidR="009E3CCB" w:rsidRPr="009E3CCB" w:rsidRDefault="009E3CCB" w:rsidP="009E3CCB">
            <w:r w:rsidRPr="009E3CCB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A651BBD" w14:textId="77777777" w:rsidR="009E3CCB" w:rsidRPr="009E3CCB" w:rsidRDefault="009E3CCB" w:rsidP="009E3CCB">
            <w:r w:rsidRPr="009E3CCB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3E5EFF6" w14:textId="77777777" w:rsidR="009E3CCB" w:rsidRPr="009E3CCB" w:rsidRDefault="009E3CCB" w:rsidP="009E3CCB">
            <w:r w:rsidRPr="009E3CCB">
              <w:rPr>
                <w:b/>
                <w:bCs/>
              </w:rPr>
              <w:t>2024</w:t>
            </w:r>
          </w:p>
        </w:tc>
      </w:tr>
      <w:tr w:rsidR="009E3CCB" w:rsidRPr="009E3CCB" w14:paraId="38A4FF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38D137" w14:textId="77777777" w:rsidR="009E3CCB" w:rsidRPr="009E3CCB" w:rsidRDefault="009E3CCB" w:rsidP="009E3CCB">
            <w:r w:rsidRPr="009E3CCB">
              <w:rPr>
                <w:b/>
                <w:bCs/>
              </w:rPr>
              <w:t>Profitability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4BEE5E0" w14:textId="77777777" w:rsidR="009E3CCB" w:rsidRPr="009E3CCB" w:rsidRDefault="009E3CCB" w:rsidP="009E3CC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859360" w14:textId="77777777" w:rsidR="009E3CCB" w:rsidRPr="009E3CCB" w:rsidRDefault="009E3CCB" w:rsidP="009E3CC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1738AEA" w14:textId="77777777" w:rsidR="009E3CCB" w:rsidRPr="009E3CCB" w:rsidRDefault="009E3CCB" w:rsidP="009E3CCB"/>
        </w:tc>
      </w:tr>
      <w:tr w:rsidR="009E3CCB" w:rsidRPr="009E3CCB" w14:paraId="336142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FC48C0" w14:textId="77777777" w:rsidR="009E3CCB" w:rsidRPr="009E3CCB" w:rsidRDefault="009E3CCB" w:rsidP="009E3CCB">
            <w:r w:rsidRPr="009E3CCB">
              <w:t>Return on Shareholders Funds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7FB30F" w14:textId="77777777" w:rsidR="009E3CCB" w:rsidRPr="009E3CCB" w:rsidRDefault="009E3CCB" w:rsidP="009E3CCB">
            <w:r w:rsidRPr="009E3CCB">
              <w:t>-12.03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0520F6" w14:textId="77777777" w:rsidR="009E3CCB" w:rsidRPr="009E3CCB" w:rsidRDefault="009E3CCB" w:rsidP="009E3CCB">
            <w:r w:rsidRPr="009E3CCB">
              <w:t>-23.26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2CE6764" w14:textId="77777777" w:rsidR="009E3CCB" w:rsidRPr="009E3CCB" w:rsidRDefault="009E3CCB" w:rsidP="009E3CCB">
            <w:r w:rsidRPr="009E3CCB">
              <w:t>-23.87</w:t>
            </w:r>
          </w:p>
        </w:tc>
      </w:tr>
      <w:tr w:rsidR="009E3CCB" w:rsidRPr="009E3CCB" w14:paraId="754600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5305EBE" w14:textId="77777777" w:rsidR="009E3CCB" w:rsidRPr="009E3CCB" w:rsidRDefault="009E3CCB" w:rsidP="009E3CCB">
            <w:r w:rsidRPr="009E3CCB">
              <w:t>Gross Margin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BAF6D53" w14:textId="77777777" w:rsidR="009E3CCB" w:rsidRPr="009E3CCB" w:rsidRDefault="009E3CCB" w:rsidP="009E3CCB">
            <w:r w:rsidRPr="009E3CCB">
              <w:t>62.34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01DBE0" w14:textId="77777777" w:rsidR="009E3CCB" w:rsidRPr="009E3CCB" w:rsidRDefault="009E3CCB" w:rsidP="009E3CCB">
            <w:r w:rsidRPr="009E3CCB">
              <w:t>53.33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5CE83B" w14:textId="77777777" w:rsidR="009E3CCB" w:rsidRPr="009E3CCB" w:rsidRDefault="009E3CCB" w:rsidP="009E3CCB">
            <w:r w:rsidRPr="009E3CCB">
              <w:t>57.53</w:t>
            </w:r>
          </w:p>
        </w:tc>
      </w:tr>
      <w:tr w:rsidR="009E3CCB" w:rsidRPr="009E3CCB" w14:paraId="089F52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995574D" w14:textId="77777777" w:rsidR="009E3CCB" w:rsidRPr="009E3CCB" w:rsidRDefault="009E3CCB" w:rsidP="009E3CCB">
            <w:r w:rsidRPr="009E3CCB">
              <w:t>EBIT Margin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142E617" w14:textId="77777777" w:rsidR="009E3CCB" w:rsidRPr="009E3CCB" w:rsidRDefault="009E3CCB" w:rsidP="009E3CCB">
            <w:r w:rsidRPr="009E3CCB">
              <w:t>-49.59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E81ADE9" w14:textId="77777777" w:rsidR="009E3CCB" w:rsidRPr="009E3CCB" w:rsidRDefault="009E3CCB" w:rsidP="009E3CCB">
            <w:r w:rsidRPr="009E3CCB">
              <w:t>-99.38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F9AE44" w14:textId="77777777" w:rsidR="009E3CCB" w:rsidRPr="009E3CCB" w:rsidRDefault="009E3CCB" w:rsidP="009E3CCB">
            <w:r w:rsidRPr="009E3CCB">
              <w:t>-83.16</w:t>
            </w:r>
          </w:p>
        </w:tc>
      </w:tr>
      <w:tr w:rsidR="009E3CCB" w:rsidRPr="009E3CCB" w14:paraId="2EBC4B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33666BD" w14:textId="77777777" w:rsidR="009E3CCB" w:rsidRPr="009E3CCB" w:rsidRDefault="009E3CCB" w:rsidP="009E3CCB">
            <w:r w:rsidRPr="009E3CCB">
              <w:t>Berry Ratio (x)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105C71" w14:textId="77777777" w:rsidR="009E3CCB" w:rsidRPr="009E3CCB" w:rsidRDefault="009E3CCB" w:rsidP="009E3CCB">
            <w:r w:rsidRPr="009E3CCB"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B73796" w14:textId="77777777" w:rsidR="009E3CCB" w:rsidRPr="009E3CCB" w:rsidRDefault="009E3CCB" w:rsidP="009E3CCB">
            <w:r w:rsidRPr="009E3CCB">
              <w:t>0.35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DC5BD8" w14:textId="77777777" w:rsidR="009E3CCB" w:rsidRPr="009E3CCB" w:rsidRDefault="009E3CCB" w:rsidP="009E3CCB">
            <w:r w:rsidRPr="009E3CCB">
              <w:t>0.41</w:t>
            </w:r>
          </w:p>
        </w:tc>
      </w:tr>
      <w:tr w:rsidR="009E3CCB" w:rsidRPr="009E3CCB" w14:paraId="7583F1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8BAAB5B" w14:textId="77777777" w:rsidR="009E3CCB" w:rsidRPr="009E3CCB" w:rsidRDefault="009E3CCB" w:rsidP="009E3CCB">
            <w:r w:rsidRPr="009E3CCB">
              <w:rPr>
                <w:b/>
                <w:bCs/>
              </w:rPr>
              <w:t>Gearing &amp; Liquidity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4C821E" w14:textId="77777777" w:rsidR="009E3CCB" w:rsidRPr="009E3CCB" w:rsidRDefault="009E3CCB" w:rsidP="009E3CC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E28C4B8" w14:textId="77777777" w:rsidR="009E3CCB" w:rsidRPr="009E3CCB" w:rsidRDefault="009E3CCB" w:rsidP="009E3CC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D0F7839" w14:textId="77777777" w:rsidR="009E3CCB" w:rsidRPr="009E3CCB" w:rsidRDefault="009E3CCB" w:rsidP="009E3CCB"/>
        </w:tc>
      </w:tr>
      <w:tr w:rsidR="009E3CCB" w:rsidRPr="009E3CCB" w14:paraId="0759E6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C48C51" w14:textId="77777777" w:rsidR="009E3CCB" w:rsidRPr="009E3CCB" w:rsidRDefault="009E3CCB" w:rsidP="009E3CCB">
            <w:r w:rsidRPr="009E3CCB">
              <w:t>Gearing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C47E999" w14:textId="77777777" w:rsidR="009E3CCB" w:rsidRPr="009E3CCB" w:rsidRDefault="009E3CCB" w:rsidP="009E3CCB">
            <w:r w:rsidRPr="009E3CCB">
              <w:t>6.32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DD97B2E" w14:textId="77777777" w:rsidR="009E3CCB" w:rsidRPr="009E3CCB" w:rsidRDefault="009E3CCB" w:rsidP="009E3CCB">
            <w:r w:rsidRPr="009E3CCB">
              <w:t>6.84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B57836E" w14:textId="77777777" w:rsidR="009E3CCB" w:rsidRPr="009E3CCB" w:rsidRDefault="009E3CCB" w:rsidP="009E3CCB">
            <w:r w:rsidRPr="009E3CCB">
              <w:t>7.54</w:t>
            </w:r>
          </w:p>
        </w:tc>
      </w:tr>
      <w:tr w:rsidR="009E3CCB" w:rsidRPr="009E3CCB" w14:paraId="52B1BB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EE15187" w14:textId="77777777" w:rsidR="009E3CCB" w:rsidRPr="009E3CCB" w:rsidRDefault="009E3CCB" w:rsidP="009E3CCB">
            <w:r w:rsidRPr="009E3CCB">
              <w:t>Current Ratio (x)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5016C74" w14:textId="77777777" w:rsidR="009E3CCB" w:rsidRPr="009E3CCB" w:rsidRDefault="009E3CCB" w:rsidP="009E3CCB">
            <w:r w:rsidRPr="009E3CCB">
              <w:t>6.22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2AA71C2" w14:textId="77777777" w:rsidR="009E3CCB" w:rsidRPr="009E3CCB" w:rsidRDefault="009E3CCB" w:rsidP="009E3CCB">
            <w:r w:rsidRPr="009E3CCB">
              <w:t>5.01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FDB1497" w14:textId="77777777" w:rsidR="009E3CCB" w:rsidRPr="009E3CCB" w:rsidRDefault="009E3CCB" w:rsidP="009E3CCB">
            <w:r w:rsidRPr="009E3CCB">
              <w:t>4.66</w:t>
            </w:r>
          </w:p>
        </w:tc>
      </w:tr>
      <w:tr w:rsidR="009E3CCB" w:rsidRPr="009E3CCB" w14:paraId="675D69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760AAAD" w14:textId="77777777" w:rsidR="009E3CCB" w:rsidRPr="009E3CCB" w:rsidRDefault="009E3CCB" w:rsidP="009E3CCB">
            <w:r w:rsidRPr="009E3CCB">
              <w:rPr>
                <w:b/>
                <w:bCs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806BFE" w14:textId="77777777" w:rsidR="009E3CCB" w:rsidRPr="009E3CCB" w:rsidRDefault="009E3CCB" w:rsidP="009E3CC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BBAB24" w14:textId="77777777" w:rsidR="009E3CCB" w:rsidRPr="009E3CCB" w:rsidRDefault="009E3CCB" w:rsidP="009E3CC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A162F0" w14:textId="77777777" w:rsidR="009E3CCB" w:rsidRPr="009E3CCB" w:rsidRDefault="009E3CCB" w:rsidP="009E3CCB"/>
        </w:tc>
      </w:tr>
      <w:tr w:rsidR="009E3CCB" w:rsidRPr="009E3CCB" w14:paraId="766F2E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5A08010" w14:textId="77777777" w:rsidR="009E3CCB" w:rsidRPr="009E3CCB" w:rsidRDefault="009E3CCB" w:rsidP="009E3CCB">
            <w:r w:rsidRPr="009E3CCB">
              <w:t>Net Asset Turnover (x)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95DA6C6" w14:textId="77777777" w:rsidR="009E3CCB" w:rsidRPr="009E3CCB" w:rsidRDefault="009E3CCB" w:rsidP="009E3CCB">
            <w:r w:rsidRPr="009E3CCB"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8D3E647" w14:textId="77777777" w:rsidR="009E3CCB" w:rsidRPr="009E3CCB" w:rsidRDefault="009E3CCB" w:rsidP="009E3CCB">
            <w:r w:rsidRPr="009E3CCB"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35FE73" w14:textId="77777777" w:rsidR="009E3CCB" w:rsidRPr="009E3CCB" w:rsidRDefault="009E3CCB" w:rsidP="009E3CCB">
            <w:r w:rsidRPr="009E3CCB">
              <w:t>0.29</w:t>
            </w:r>
          </w:p>
        </w:tc>
      </w:tr>
      <w:tr w:rsidR="009E3CCB" w:rsidRPr="009E3CCB" w14:paraId="16C000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4F7C51" w14:textId="77777777" w:rsidR="009E3CCB" w:rsidRPr="009E3CCB" w:rsidRDefault="009E3CCB" w:rsidP="009E3CCB">
            <w:r w:rsidRPr="009E3CCB">
              <w:t>Creditor Payment (days)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60E227" w14:textId="77777777" w:rsidR="009E3CCB" w:rsidRPr="009E3CCB" w:rsidRDefault="009E3CCB" w:rsidP="009E3CCB">
            <w:r w:rsidRPr="009E3CCB">
              <w:t>42.46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5D0CAE2" w14:textId="77777777" w:rsidR="009E3CCB" w:rsidRPr="009E3CCB" w:rsidRDefault="009E3CCB" w:rsidP="009E3CCB">
            <w:r w:rsidRPr="009E3CCB">
              <w:t>86.78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6041C56" w14:textId="77777777" w:rsidR="009E3CCB" w:rsidRPr="009E3CCB" w:rsidRDefault="009E3CCB" w:rsidP="009E3CCB">
            <w:r w:rsidRPr="009E3CCB">
              <w:t>103.54</w:t>
            </w:r>
          </w:p>
        </w:tc>
      </w:tr>
    </w:tbl>
    <w:p w14:paraId="5ED014BF" w14:textId="77777777" w:rsidR="009E3CCB" w:rsidRPr="009E3CCB" w:rsidRDefault="009E3CCB" w:rsidP="009E3CCB">
      <w:r w:rsidRPr="009E3CCB">
        <w:rPr>
          <w:b/>
          <w:bCs/>
        </w:rPr>
        <w:t>Profitability:</w:t>
      </w:r>
      <w:r w:rsidRPr="009E3CCB">
        <w:t xml:space="preserve"> Deep structural unprofitability persists, characteristic of an early-stage hardware manufacturer prioritizing market capture. The Return on Shareholders Funds deteriorated to -23.87% in 2024.</w:t>
      </w:r>
      <w:r w:rsidRPr="009E3CCB">
        <w:rPr>
          <w:vertAlign w:val="superscript"/>
        </w:rPr>
        <w:t>10</w:t>
      </w:r>
      <w:r w:rsidRPr="009E3CCB">
        <w:t xml:space="preserve"> A critical metric for R&amp;D-heavy firms is the Berry Ratio (Gross Profit divided by Operating Expenses). At 0.41 in 2024, it highlights the immense weight of non-manufacturing overheads relative to generated margins.</w:t>
      </w:r>
      <w:r w:rsidRPr="009E3CCB">
        <w:rPr>
          <w:vertAlign w:val="superscript"/>
        </w:rPr>
        <w:t>10</w:t>
      </w:r>
      <w:r w:rsidRPr="009E3CCB">
        <w:t xml:space="preserve"> However, a significant positive anomaly exists: despite worsening net losses, the Gross Margin expanded sequentially to </w:t>
      </w:r>
      <w:r w:rsidRPr="009E3CCB">
        <w:lastRenderedPageBreak/>
        <w:t>57.53% in 2024.</w:t>
      </w:r>
      <w:r w:rsidRPr="009E3CCB">
        <w:rPr>
          <w:vertAlign w:val="superscript"/>
        </w:rPr>
        <w:t>10</w:t>
      </w:r>
      <w:r w:rsidRPr="009E3CCB">
        <w:t xml:space="preserve"> This divergence is caused by a highly successful commercial shift toward the higher-yielding PromethION consumables and flow-cell manufacturing optimizations.</w:t>
      </w:r>
      <w:r w:rsidRPr="009E3CCB">
        <w:rPr>
          <w:vertAlign w:val="superscript"/>
        </w:rPr>
        <w:t>4</w:t>
      </w:r>
    </w:p>
    <w:p w14:paraId="6FB8CB89" w14:textId="77777777" w:rsidR="009E3CCB" w:rsidRPr="009E3CCB" w:rsidRDefault="009E3CCB" w:rsidP="009E3CCB">
      <w:r w:rsidRPr="009E3CCB">
        <w:rPr>
          <w:b/>
          <w:bCs/>
        </w:rPr>
        <w:t>Gearing and Liquidity:</w:t>
      </w:r>
      <w:r w:rsidRPr="009E3CCB">
        <w:t xml:space="preserve"> To offset the acute financial risk of operating losses, ONT utilizes an ultra-conservative, equity-heavy capital structure. The Gearing ratio remains virtually negligible at 7.54%.</w:t>
      </w:r>
      <w:r w:rsidRPr="009E3CCB">
        <w:rPr>
          <w:vertAlign w:val="superscript"/>
        </w:rPr>
        <w:t>10</w:t>
      </w:r>
      <w:r w:rsidRPr="009E3CCB">
        <w:t xml:space="preserve"> By avoiding debt, the firm structurally immunizes itself against elevated debt-servicing costs. This links directly to its exceptional liquidity profile; the Current Ratio stands at a formidable 4.66, anchored by £403.8 million in cash and liquid investments at the end of 2024.</w:t>
      </w:r>
      <w:r w:rsidRPr="009E3CCB">
        <w:rPr>
          <w:vertAlign w:val="superscript"/>
        </w:rPr>
        <w:t>5</w:t>
      </w:r>
      <w:r w:rsidRPr="009E3CCB">
        <w:t xml:space="preserve"> This liquidity minimizes short-term default risk, securing a multi-year cash runway without necessitating dilutive equity raises.</w:t>
      </w:r>
    </w:p>
    <w:p w14:paraId="1F65330B" w14:textId="77777777" w:rsidR="009E3CCB" w:rsidRPr="009E3CCB" w:rsidRDefault="009E3CCB" w:rsidP="009E3CCB">
      <w:r w:rsidRPr="009E3CCB">
        <w:rPr>
          <w:b/>
          <w:bCs/>
        </w:rPr>
        <w:t>Investor and Efficiency:</w:t>
      </w:r>
      <w:r w:rsidRPr="009E3CCB">
        <w:t xml:space="preserve"> Asset utilization remains sluggish, with Net Asset Turnover flat at 0.29x.</w:t>
      </w:r>
      <w:r w:rsidRPr="009E3CCB">
        <w:rPr>
          <w:vertAlign w:val="superscript"/>
        </w:rPr>
        <w:t>10</w:t>
      </w:r>
      <w:r w:rsidRPr="009E3CCB">
        <w:t xml:space="preserve"> However, an analysis of the working capital cycle reveals a deliberate cash-preservation strategy. Creditor Payment days have anomalously stretched from 42.46 days in 2022 to 103.54 days in 2024, while Debtor Collection remains stable at roughly 74 days.</w:t>
      </w:r>
      <w:r w:rsidRPr="009E3CCB">
        <w:rPr>
          <w:vertAlign w:val="superscript"/>
        </w:rPr>
        <w:t>10</w:t>
      </w:r>
      <w:r w:rsidRPr="009E3CCB">
        <w:t xml:space="preserve"> By aggressively delaying supplier payments, ONT efficiently finances its long commercial sales cycles internally, leveraging its supply chain to protect its unleveraged capital structure.</w:t>
      </w:r>
    </w:p>
    <w:p w14:paraId="0863F29C" w14:textId="77777777" w:rsidR="009E3CCB" w:rsidRPr="009E3CCB" w:rsidRDefault="009E3CCB" w:rsidP="009E3CCB">
      <w:r w:rsidRPr="009E3CCB">
        <w:t>**</w:t>
      </w:r>
    </w:p>
    <w:p w14:paraId="7D5EF454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2.2 Financial Performance Comparison to Sector</w:t>
      </w:r>
    </w:p>
    <w:p w14:paraId="3ED03A6B" w14:textId="77777777" w:rsidR="009E3CCB" w:rsidRPr="009E3CCB" w:rsidRDefault="009E3CCB" w:rsidP="009E3CCB">
      <w:r w:rsidRPr="009E3CCB">
        <w:t>Comparing ONT to Genus PLC (</w:t>
      </w:r>
      <w:proofErr w:type="gramStart"/>
      <w:r w:rsidRPr="009E3CCB">
        <w:t>GNS)—</w:t>
      </w:r>
      <w:proofErr w:type="gramEnd"/>
      <w:r w:rsidRPr="009E3CCB">
        <w:t>a mature constituent in the agricultural genetics sub-sector—highlights deeply divergent lifecycle risk profiles for the 2024 period.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2359"/>
        <w:gridCol w:w="1540"/>
      </w:tblGrid>
      <w:tr w:rsidR="009E3CCB" w:rsidRPr="009E3CCB" w14:paraId="0BBD39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55DF71B" w14:textId="77777777" w:rsidR="009E3CCB" w:rsidRPr="009E3CCB" w:rsidRDefault="009E3CCB" w:rsidP="009E3CCB">
            <w:r w:rsidRPr="009E3CCB">
              <w:rPr>
                <w:b/>
                <w:bCs/>
              </w:rPr>
              <w:t>Financial Metric (2024)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0DDB7A7" w14:textId="77777777" w:rsidR="009E3CCB" w:rsidRPr="009E3CCB" w:rsidRDefault="009E3CCB" w:rsidP="009E3CCB">
            <w:r w:rsidRPr="009E3CCB">
              <w:rPr>
                <w:b/>
                <w:bCs/>
              </w:rPr>
              <w:t>Oxford Nanopore (ONT)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DB4A47" w14:textId="77777777" w:rsidR="009E3CCB" w:rsidRPr="009E3CCB" w:rsidRDefault="009E3CCB" w:rsidP="009E3CCB">
            <w:r w:rsidRPr="009E3CCB">
              <w:rPr>
                <w:b/>
                <w:bCs/>
              </w:rPr>
              <w:t>Genus PLC (GNS)</w:t>
            </w:r>
          </w:p>
        </w:tc>
      </w:tr>
      <w:tr w:rsidR="009E3CCB" w:rsidRPr="009E3CCB" w14:paraId="3C24C7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5593D17" w14:textId="77777777" w:rsidR="009E3CCB" w:rsidRPr="009E3CCB" w:rsidRDefault="009E3CCB" w:rsidP="009E3CCB">
            <w:r w:rsidRPr="009E3CCB">
              <w:t>Return on Capital Employed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898680" w14:textId="77777777" w:rsidR="009E3CCB" w:rsidRPr="009E3CCB" w:rsidRDefault="009E3CCB" w:rsidP="009E3CCB">
            <w:r w:rsidRPr="009E3CCB">
              <w:t>-22.20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5F9D31C" w14:textId="77777777" w:rsidR="009E3CCB" w:rsidRPr="009E3CCB" w:rsidRDefault="009E3CCB" w:rsidP="009E3CCB">
            <w:r w:rsidRPr="009E3CCB">
              <w:t>0.63</w:t>
            </w:r>
          </w:p>
        </w:tc>
      </w:tr>
      <w:tr w:rsidR="009E3CCB" w:rsidRPr="009E3CCB" w14:paraId="4D98DA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A0DA811" w14:textId="77777777" w:rsidR="009E3CCB" w:rsidRPr="009E3CCB" w:rsidRDefault="009E3CCB" w:rsidP="009E3CCB">
            <w:r w:rsidRPr="009E3CCB">
              <w:t>Profit Margin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8F57B0E" w14:textId="77777777" w:rsidR="009E3CCB" w:rsidRPr="009E3CCB" w:rsidRDefault="009E3CCB" w:rsidP="009E3CCB">
            <w:r w:rsidRPr="009E3CCB">
              <w:t>-76.40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C7E8A9F" w14:textId="77777777" w:rsidR="009E3CCB" w:rsidRPr="009E3CCB" w:rsidRDefault="009E3CCB" w:rsidP="009E3CCB">
            <w:r w:rsidRPr="009E3CCB">
              <w:t>0.82</w:t>
            </w:r>
          </w:p>
        </w:tc>
      </w:tr>
      <w:tr w:rsidR="009E3CCB" w:rsidRPr="009E3CCB" w14:paraId="18AEB1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160508" w14:textId="77777777" w:rsidR="009E3CCB" w:rsidRPr="009E3CCB" w:rsidRDefault="009E3CCB" w:rsidP="009E3CCB">
            <w:r w:rsidRPr="009E3CCB">
              <w:t>Gearing 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CBFE09" w14:textId="77777777" w:rsidR="009E3CCB" w:rsidRPr="009E3CCB" w:rsidRDefault="009E3CCB" w:rsidP="009E3CCB">
            <w:r w:rsidRPr="009E3CCB">
              <w:t>7.54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DDA277" w14:textId="77777777" w:rsidR="009E3CCB" w:rsidRPr="009E3CCB" w:rsidRDefault="009E3CCB" w:rsidP="009E3CCB">
            <w:r w:rsidRPr="009E3CCB">
              <w:t>62.38</w:t>
            </w:r>
          </w:p>
        </w:tc>
      </w:tr>
      <w:tr w:rsidR="009E3CCB" w:rsidRPr="009E3CCB" w14:paraId="59CB1B5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DD8374" w14:textId="77777777" w:rsidR="009E3CCB" w:rsidRPr="009E3CCB" w:rsidRDefault="009E3CCB" w:rsidP="009E3CCB">
            <w:r w:rsidRPr="009E3CCB">
              <w:t>Stock Turnover (x)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D08B2D6" w14:textId="77777777" w:rsidR="009E3CCB" w:rsidRPr="009E3CCB" w:rsidRDefault="009E3CCB" w:rsidP="009E3CCB">
            <w:r w:rsidRPr="009E3CCB">
              <w:t>1.84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1C19056" w14:textId="77777777" w:rsidR="009E3CCB" w:rsidRPr="009E3CCB" w:rsidRDefault="009E3CCB" w:rsidP="009E3CCB">
            <w:r w:rsidRPr="009E3CCB">
              <w:t>11.71</w:t>
            </w:r>
          </w:p>
        </w:tc>
      </w:tr>
      <w:tr w:rsidR="009E3CCB" w:rsidRPr="009E3CCB" w14:paraId="31DD47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FE3D7BA" w14:textId="77777777" w:rsidR="009E3CCB" w:rsidRPr="009E3CCB" w:rsidRDefault="009E3CCB" w:rsidP="009E3CCB">
            <w:r w:rsidRPr="009E3CCB">
              <w:t>Creditor Payment (days)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2D7EA97" w14:textId="77777777" w:rsidR="009E3CCB" w:rsidRPr="009E3CCB" w:rsidRDefault="009E3CCB" w:rsidP="009E3CCB">
            <w:r w:rsidRPr="009E3CCB">
              <w:t>103.54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04F6B89" w14:textId="77777777" w:rsidR="009E3CCB" w:rsidRPr="009E3CCB" w:rsidRDefault="009E3CCB" w:rsidP="009E3CCB">
            <w:r w:rsidRPr="009E3CCB">
              <w:t>22.98</w:t>
            </w:r>
          </w:p>
        </w:tc>
      </w:tr>
    </w:tbl>
    <w:p w14:paraId="111E25BF" w14:textId="77777777" w:rsidR="009E3CCB" w:rsidRPr="009E3CCB" w:rsidRDefault="009E3CCB" w:rsidP="009E3CCB">
      <w:r w:rsidRPr="009E3CCB">
        <w:t>Genus operates with a positive Return on Capital Employed (0.63%) and Profit Margin (0.82%), demonstrating a stabilized, cash-generative commercial model.</w:t>
      </w:r>
      <w:r w:rsidRPr="009E3CCB">
        <w:rPr>
          <w:vertAlign w:val="superscript"/>
        </w:rPr>
        <w:t>10</w:t>
      </w:r>
      <w:r w:rsidRPr="009E3CCB">
        <w:t xml:space="preserve"> Because its cash flows are highly </w:t>
      </w:r>
      <w:r w:rsidRPr="009E3CCB">
        <w:lastRenderedPageBreak/>
        <w:t>predictable, Genus can safely employ an aggressive capital structure, carrying a Gearing Ratio of 62.38%.</w:t>
      </w:r>
      <w:r w:rsidRPr="009E3CCB">
        <w:rPr>
          <w:vertAlign w:val="superscript"/>
        </w:rPr>
        <w:t>10</w:t>
      </w:r>
      <w:r w:rsidRPr="009E3CCB">
        <w:t xml:space="preserve"> In stark contrast, ONT's negative returns fundamentally prohibit the use of heavy leverage.</w:t>
      </w:r>
    </w:p>
    <w:p w14:paraId="4C9ADC83" w14:textId="77777777" w:rsidR="009E3CCB" w:rsidRPr="009E3CCB" w:rsidRDefault="009E3CCB" w:rsidP="009E3CCB">
      <w:r w:rsidRPr="009E3CCB">
        <w:t>Efficiency metrics further underscore this maturation gap. Genus turns over its inventory 11.71 times annually and settles creditor obligations in just 22.98 days, reflecting a highly optimized global supply chain.</w:t>
      </w:r>
      <w:r w:rsidRPr="009E3CCB">
        <w:rPr>
          <w:vertAlign w:val="superscript"/>
        </w:rPr>
        <w:t>10</w:t>
      </w:r>
      <w:r w:rsidRPr="009E3CCB">
        <w:t xml:space="preserve"> ONT’s low stock turnover (1.84x) and stretched creditor days (103.54) represent the systemic friction of scaling complex, bespoke sequencing hardware in an emerging market.</w:t>
      </w:r>
      <w:r w:rsidRPr="009E3CCB">
        <w:rPr>
          <w:vertAlign w:val="superscript"/>
        </w:rPr>
        <w:t>10</w:t>
      </w:r>
      <w:r w:rsidRPr="009E3CCB">
        <w:t xml:space="preserve"> Ultimately, ONT sacrifices near-term efficiency to capture disruptive top-line growth, carrying higher operational risk but offering greater long-term return optionality.</w:t>
      </w:r>
    </w:p>
    <w:p w14:paraId="6C0A7C68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Section 3: Market Report</w:t>
      </w:r>
    </w:p>
    <w:p w14:paraId="6953946B" w14:textId="77777777" w:rsidR="009E3CCB" w:rsidRPr="009E3CCB" w:rsidRDefault="009E3CCB" w:rsidP="009E3CCB">
      <w:r w:rsidRPr="009E3CCB">
        <w:t>**</w:t>
      </w:r>
    </w:p>
    <w:p w14:paraId="4671C9C7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3.1 Core Market Coefficients and Ratios</w:t>
      </w:r>
    </w:p>
    <w:p w14:paraId="1656A944" w14:textId="77777777" w:rsidR="009E3CCB" w:rsidRPr="009E3CCB" w:rsidRDefault="009E3CCB" w:rsidP="009E3CCB">
      <w:r w:rsidRPr="009E3CCB">
        <w:t>The market performance of Oxford Nanopore provides a quantifiable assessment of investor sentiment and the systemic pricing of future growth expectations.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749"/>
        <w:gridCol w:w="749"/>
        <w:gridCol w:w="584"/>
      </w:tblGrid>
      <w:tr w:rsidR="009E3CCB" w:rsidRPr="009E3CCB" w14:paraId="0AE058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5A8649B" w14:textId="77777777" w:rsidR="009E3CCB" w:rsidRPr="009E3CCB" w:rsidRDefault="009E3CCB" w:rsidP="009E3CCB">
            <w:r w:rsidRPr="009E3CCB">
              <w:rPr>
                <w:b/>
                <w:bCs/>
              </w:rPr>
              <w:t>Market Metric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8284C0C" w14:textId="77777777" w:rsidR="009E3CCB" w:rsidRPr="009E3CCB" w:rsidRDefault="009E3CCB" w:rsidP="009E3CCB">
            <w:r w:rsidRPr="009E3CCB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CFA5BF9" w14:textId="77777777" w:rsidR="009E3CCB" w:rsidRPr="009E3CCB" w:rsidRDefault="009E3CCB" w:rsidP="009E3CCB">
            <w:r w:rsidRPr="009E3CCB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A743C9" w14:textId="77777777" w:rsidR="009E3CCB" w:rsidRPr="009E3CCB" w:rsidRDefault="009E3CCB" w:rsidP="009E3CCB">
            <w:r w:rsidRPr="009E3CCB">
              <w:rPr>
                <w:b/>
                <w:bCs/>
              </w:rPr>
              <w:t>2024</w:t>
            </w:r>
          </w:p>
        </w:tc>
      </w:tr>
      <w:tr w:rsidR="009E3CCB" w:rsidRPr="009E3CCB" w14:paraId="3ECC25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A38E63" w14:textId="77777777" w:rsidR="009E3CCB" w:rsidRPr="009E3CCB" w:rsidRDefault="009E3CCB" w:rsidP="009E3CCB">
            <w:r w:rsidRPr="009E3CCB">
              <w:t>Annual Return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C9A5637" w14:textId="77777777" w:rsidR="009E3CCB" w:rsidRPr="009E3CCB" w:rsidRDefault="009E3CCB" w:rsidP="009E3CCB">
            <w:r w:rsidRPr="009E3CCB">
              <w:t>-1.006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7EA4530" w14:textId="77777777" w:rsidR="009E3CCB" w:rsidRPr="009E3CCB" w:rsidRDefault="009E3CCB" w:rsidP="009E3CCB">
            <w:r w:rsidRPr="009E3CCB">
              <w:t>-0.166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16D07AC" w14:textId="77777777" w:rsidR="009E3CCB" w:rsidRPr="009E3CCB" w:rsidRDefault="009E3CCB" w:rsidP="009E3CCB">
            <w:r w:rsidRPr="009E3CCB">
              <w:t>-0.459</w:t>
            </w:r>
          </w:p>
        </w:tc>
      </w:tr>
      <w:tr w:rsidR="009E3CCB" w:rsidRPr="009E3CCB" w14:paraId="340D10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8B56BB0" w14:textId="77777777" w:rsidR="009E3CCB" w:rsidRPr="009E3CCB" w:rsidRDefault="009E3CCB" w:rsidP="009E3CCB">
            <w:r w:rsidRPr="009E3CCB">
              <w:t>Annual Volatility (Standard Deviation)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2F1193A" w14:textId="77777777" w:rsidR="009E3CCB" w:rsidRPr="009E3CCB" w:rsidRDefault="009E3CCB" w:rsidP="009E3CCB">
            <w:r w:rsidRPr="009E3CCB">
              <w:t>0.638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619B31" w14:textId="77777777" w:rsidR="009E3CCB" w:rsidRPr="009E3CCB" w:rsidRDefault="009E3CCB" w:rsidP="009E3CCB">
            <w:r w:rsidRPr="009E3CCB">
              <w:t>0.479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98B6777" w14:textId="77777777" w:rsidR="009E3CCB" w:rsidRPr="009E3CCB" w:rsidRDefault="009E3CCB" w:rsidP="009E3CCB">
            <w:r w:rsidRPr="009E3CCB">
              <w:t>0.576</w:t>
            </w:r>
          </w:p>
        </w:tc>
      </w:tr>
      <w:tr w:rsidR="009E3CCB" w:rsidRPr="009E3CCB" w14:paraId="1CEFA4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46A660" w14:textId="77777777" w:rsidR="009E3CCB" w:rsidRPr="009E3CCB" w:rsidRDefault="009E3CCB" w:rsidP="009E3CCB">
            <w:r w:rsidRPr="009E3CCB">
              <w:t>P/E Ratio (TTM)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5699AAC" w14:textId="77777777" w:rsidR="009E3CCB" w:rsidRPr="009E3CCB" w:rsidRDefault="009E3CCB" w:rsidP="009E3CCB">
            <w:r w:rsidRPr="009E3CCB">
              <w:t>-22.31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5FA49B" w14:textId="77777777" w:rsidR="009E3CCB" w:rsidRPr="009E3CCB" w:rsidRDefault="009E3CCB" w:rsidP="009E3CCB">
            <w:r w:rsidRPr="009E3CCB">
              <w:t>-11.24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3AAC45" w14:textId="77777777" w:rsidR="009E3CCB" w:rsidRPr="009E3CCB" w:rsidRDefault="009E3CCB" w:rsidP="009E3CCB">
            <w:r w:rsidRPr="009E3CCB">
              <w:t>-7.91</w:t>
            </w:r>
          </w:p>
        </w:tc>
      </w:tr>
    </w:tbl>
    <w:p w14:paraId="308160B3" w14:textId="77777777" w:rsidR="009E3CCB" w:rsidRPr="009E3CCB" w:rsidRDefault="009E3CCB" w:rsidP="009E3CCB">
      <w:r w:rsidRPr="009E3CCB">
        <w:t>The time series analysis reveals severe shareholder wealth destruction since the IPO, culminating in a 3-year return of -1.632.</w:t>
      </w:r>
      <w:r w:rsidRPr="009E3CCB">
        <w:rPr>
          <w:vertAlign w:val="superscript"/>
        </w:rPr>
        <w:t>10</w:t>
      </w:r>
      <w:r w:rsidRPr="009E3CCB">
        <w:t xml:space="preserve"> Annual returns were sequentially negative, falling -0.459 in 2024.</w:t>
      </w:r>
      <w:r w:rsidRPr="009E3CCB">
        <w:rPr>
          <w:vertAlign w:val="superscript"/>
        </w:rPr>
        <w:t>10</w:t>
      </w:r>
      <w:r w:rsidRPr="009E3CCB">
        <w:t xml:space="preserve"> This downward price discovery is not strictly reflective of operational failure—as underlying revenues expanded—but rather a macroeconomic rerating. As central banks raised interest rates throughout 2022 and 2023, the discount rate applied to ONT's projected future cash flows increased, violently compressing its valuation multiples.</w:t>
      </w:r>
    </w:p>
    <w:p w14:paraId="6E676F7E" w14:textId="77777777" w:rsidR="009E3CCB" w:rsidRPr="009E3CCB" w:rsidRDefault="009E3CCB" w:rsidP="009E3CCB">
      <w:r w:rsidRPr="009E3CCB">
        <w:t>Volatility remains exceptionally high, recorded at 57.6% in 2024.</w:t>
      </w:r>
      <w:r w:rsidRPr="009E3CCB">
        <w:rPr>
          <w:vertAlign w:val="superscript"/>
        </w:rPr>
        <w:t>10</w:t>
      </w:r>
      <w:r w:rsidRPr="009E3CCB">
        <w:t xml:space="preserve"> This hyper-volatility is indicative of an asset highly sensitive to news flow and shifts in the timeline to profitability. Furthermore, the Price-to-Earnings (P/E) ratio is mathematically negative (-7.91 in 2024) due to operating losses, rendering relative earnings valuation useless.</w:t>
      </w:r>
      <w:r w:rsidRPr="009E3CCB">
        <w:rPr>
          <w:vertAlign w:val="superscript"/>
        </w:rPr>
        <w:t>10</w:t>
      </w:r>
      <w:r w:rsidRPr="009E3CCB">
        <w:t xml:space="preserve"> The contraction of this multiple from -22.31 in 2022 primarily reflects the collapse of the numerator (market capitalization) rather than an improvement in earnings.</w:t>
      </w:r>
    </w:p>
    <w:p w14:paraId="112D2505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3.2 Market Performance Comparison to Sector</w:t>
      </w:r>
    </w:p>
    <w:p w14:paraId="0BF1E831" w14:textId="77777777" w:rsidR="009E3CCB" w:rsidRPr="009E3CCB" w:rsidRDefault="009E3CCB" w:rsidP="009E3CCB">
      <w:r w:rsidRPr="009E3CCB">
        <w:lastRenderedPageBreak/>
        <w:t>Comparing ONT’s market coefficients against Genus and the benchmark FTSE 350 Index offers profound insights into relative systemic risk.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1008"/>
        <w:gridCol w:w="2192"/>
        <w:gridCol w:w="1415"/>
        <w:gridCol w:w="1348"/>
      </w:tblGrid>
      <w:tr w:rsidR="009E3CCB" w:rsidRPr="009E3CCB" w14:paraId="3F1D4B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A655C31" w14:textId="77777777" w:rsidR="009E3CCB" w:rsidRPr="009E3CCB" w:rsidRDefault="009E3CCB" w:rsidP="009E3CCB">
            <w:r w:rsidRPr="009E3CCB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D8EAD12" w14:textId="77777777" w:rsidR="009E3CCB" w:rsidRPr="009E3CCB" w:rsidRDefault="009E3CCB" w:rsidP="009E3CCB">
            <w:r w:rsidRPr="009E3CCB">
              <w:rPr>
                <w:b/>
                <w:bCs/>
              </w:rPr>
              <w:t>Beta (3Y)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592939B" w14:textId="77777777" w:rsidR="009E3CCB" w:rsidRPr="009E3CCB" w:rsidRDefault="009E3CCB" w:rsidP="009E3CCB">
            <w:r w:rsidRPr="009E3CCB">
              <w:rPr>
                <w:b/>
                <w:bCs/>
              </w:rPr>
              <w:t>Annual Volatility 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3359C1E" w14:textId="77777777" w:rsidR="009E3CCB" w:rsidRPr="009E3CCB" w:rsidRDefault="009E3CCB" w:rsidP="009E3CCB">
            <w:r w:rsidRPr="009E3CCB">
              <w:rPr>
                <w:b/>
                <w:bCs/>
              </w:rPr>
              <w:t>3-Year Return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AB2F992" w14:textId="77777777" w:rsidR="009E3CCB" w:rsidRPr="009E3CCB" w:rsidRDefault="009E3CCB" w:rsidP="009E3CCB">
            <w:r w:rsidRPr="009E3CCB">
              <w:rPr>
                <w:b/>
                <w:bCs/>
              </w:rPr>
              <w:t>P/E Ratio 2024</w:t>
            </w:r>
          </w:p>
        </w:tc>
      </w:tr>
      <w:tr w:rsidR="009E3CCB" w:rsidRPr="009E3CCB" w14:paraId="5322EB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1EA2CA2" w14:textId="77777777" w:rsidR="009E3CCB" w:rsidRPr="009E3CCB" w:rsidRDefault="009E3CCB" w:rsidP="009E3CCB">
            <w:r w:rsidRPr="009E3CCB">
              <w:t>Oxford Nanopore (ONT)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FBF2CF3" w14:textId="77777777" w:rsidR="009E3CCB" w:rsidRPr="009E3CCB" w:rsidRDefault="009E3CCB" w:rsidP="009E3CCB">
            <w:r w:rsidRPr="009E3CCB">
              <w:t>1.40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42C47E9" w14:textId="77777777" w:rsidR="009E3CCB" w:rsidRPr="009E3CCB" w:rsidRDefault="009E3CCB" w:rsidP="009E3CCB">
            <w:r w:rsidRPr="009E3CCB">
              <w:t>57.6%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1CF8333" w14:textId="77777777" w:rsidR="009E3CCB" w:rsidRPr="009E3CCB" w:rsidRDefault="009E3CCB" w:rsidP="009E3CCB">
            <w:r w:rsidRPr="009E3CCB">
              <w:t>-1.632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0E8EEEE" w14:textId="77777777" w:rsidR="009E3CCB" w:rsidRPr="009E3CCB" w:rsidRDefault="009E3CCB" w:rsidP="009E3CCB">
            <w:r w:rsidRPr="009E3CCB">
              <w:t>-7.91</w:t>
            </w:r>
          </w:p>
        </w:tc>
      </w:tr>
      <w:tr w:rsidR="009E3CCB" w:rsidRPr="009E3CCB" w14:paraId="567847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DA49EC5" w14:textId="77777777" w:rsidR="009E3CCB" w:rsidRPr="009E3CCB" w:rsidRDefault="009E3CCB" w:rsidP="009E3CCB">
            <w:r w:rsidRPr="009E3CCB">
              <w:t>Genus PLC (GNS)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F6BD6B7" w14:textId="77777777" w:rsidR="009E3CCB" w:rsidRPr="009E3CCB" w:rsidRDefault="009E3CCB" w:rsidP="009E3CCB">
            <w:r w:rsidRPr="009E3CCB">
              <w:t>1.24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718FABA" w14:textId="77777777" w:rsidR="009E3CCB" w:rsidRPr="009E3CCB" w:rsidRDefault="009E3CCB" w:rsidP="009E3CCB">
            <w:r w:rsidRPr="009E3CCB">
              <w:t>39.2%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457A003" w14:textId="77777777" w:rsidR="009E3CCB" w:rsidRPr="009E3CCB" w:rsidRDefault="009E3CCB" w:rsidP="009E3CCB">
            <w:r w:rsidRPr="009E3CCB">
              <w:t>-1.120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0A28940" w14:textId="77777777" w:rsidR="009E3CCB" w:rsidRPr="009E3CCB" w:rsidRDefault="009E3CCB" w:rsidP="009E3CCB">
            <w:r w:rsidRPr="009E3CCB">
              <w:t>168.09</w:t>
            </w:r>
          </w:p>
        </w:tc>
      </w:tr>
      <w:tr w:rsidR="009E3CCB" w:rsidRPr="009E3CCB" w14:paraId="4C1AA4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F550448" w14:textId="77777777" w:rsidR="009E3CCB" w:rsidRPr="009E3CCB" w:rsidRDefault="009E3CCB" w:rsidP="009E3CCB">
            <w:r w:rsidRPr="009E3CCB">
              <w:t>FTSE 350 Index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9222C9" w14:textId="77777777" w:rsidR="009E3CCB" w:rsidRPr="009E3CCB" w:rsidRDefault="009E3CCB" w:rsidP="009E3CCB">
            <w:r w:rsidRPr="009E3CCB">
              <w:t>1.00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04D50B0" w14:textId="77777777" w:rsidR="009E3CCB" w:rsidRPr="009E3CCB" w:rsidRDefault="009E3CCB" w:rsidP="009E3CCB">
            <w:r w:rsidRPr="009E3CCB">
              <w:t>9.2%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11D3759" w14:textId="77777777" w:rsidR="009E3CCB" w:rsidRPr="009E3CCB" w:rsidRDefault="009E3CCB" w:rsidP="009E3CCB">
            <w:r w:rsidRPr="009E3CCB">
              <w:t>+0.062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8E108C7" w14:textId="77777777" w:rsidR="009E3CCB" w:rsidRPr="009E3CCB" w:rsidRDefault="009E3CCB" w:rsidP="009E3CCB">
            <w:r w:rsidRPr="009E3CCB">
              <w:t>N/A</w:t>
            </w:r>
          </w:p>
        </w:tc>
      </w:tr>
    </w:tbl>
    <w:p w14:paraId="35131E12" w14:textId="77777777" w:rsidR="009E3CCB" w:rsidRPr="009E3CCB" w:rsidRDefault="009E3CCB" w:rsidP="009E3CCB">
      <w:r w:rsidRPr="009E3CCB">
        <w:t>The data unequivocally demonstrates that the biotechnology sub-sector drastically underperformed the broader UK market between 2022 and 2024. While the FTSE 350 yielded a positive 3-year return (+0.062) with low volatility (9.2%), both ONT and Genus suffered severe drawdowns.</w:t>
      </w:r>
      <w:r w:rsidRPr="009E3CCB">
        <w:rPr>
          <w:vertAlign w:val="superscript"/>
        </w:rPr>
        <w:t>10</w:t>
      </w:r>
    </w:p>
    <w:p w14:paraId="3975729B" w14:textId="77777777" w:rsidR="009E3CCB" w:rsidRPr="009E3CCB" w:rsidRDefault="009E3CCB" w:rsidP="009E3CCB">
      <w:r w:rsidRPr="009E3CCB">
        <w:t>However, ONT is unequivocally the riskier asset, bearing a higher Beta (1.40 vs. 1.24) and substantially higher volatility than Genus.</w:t>
      </w:r>
      <w:r w:rsidRPr="009E3CCB">
        <w:rPr>
          <w:vertAlign w:val="superscript"/>
        </w:rPr>
        <w:t>10</w:t>
      </w:r>
      <w:r w:rsidRPr="009E3CCB">
        <w:t xml:space="preserve"> A Beta of 1.40 confirms that ONT is hypersensitive to systemic market movements. Genus’s volatility is anchored by its positive P/E ratio (168.09) and tangible dividend policies, which provide a valuation floor.</w:t>
      </w:r>
      <w:r w:rsidRPr="009E3CCB">
        <w:rPr>
          <w:vertAlign w:val="superscript"/>
        </w:rPr>
        <w:t>10</w:t>
      </w:r>
      <w:r w:rsidRPr="009E3CCB">
        <w:t xml:space="preserve"> Conversely, ONT is priced purely on speculative future technological dominance. Investors holding ONT are subject to severe near-term downside price </w:t>
      </w:r>
      <w:proofErr w:type="gramStart"/>
      <w:r w:rsidRPr="009E3CCB">
        <w:t>risk, but</w:t>
      </w:r>
      <w:proofErr w:type="gramEnd"/>
      <w:r w:rsidRPr="009E3CCB">
        <w:t xml:space="preserve"> theoretically hold the optionality for exponential upside if the technology achieves monopolistic penetration.</w:t>
      </w:r>
    </w:p>
    <w:p w14:paraId="69BA6485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Section 4: Conclusion</w:t>
      </w:r>
    </w:p>
    <w:p w14:paraId="2EAF35B5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4.1 Conclusion and Recommendation</w:t>
      </w:r>
    </w:p>
    <w:p w14:paraId="12AC301B" w14:textId="77777777" w:rsidR="009E3CCB" w:rsidRPr="009E3CCB" w:rsidRDefault="009E3CCB" w:rsidP="009E3CCB">
      <w:r w:rsidRPr="009E3CCB">
        <w:t xml:space="preserve">The comprehensive analysis of Oxford Nanopore Technologies PLC reveals a high-growth, cash-burning enterprise operating at the absolute cutting edge of genomic sequencing. The core themes indicate that while the company remained structurally unprofitable at the close of </w:t>
      </w:r>
      <w:proofErr w:type="gramStart"/>
      <w:r w:rsidRPr="009E3CCB">
        <w:t>2024—</w:t>
      </w:r>
      <w:proofErr w:type="gramEnd"/>
      <w:r w:rsidRPr="009E3CCB">
        <w:t xml:space="preserve">evidenced by deeply negative ROE and EBIT </w:t>
      </w:r>
      <w:proofErr w:type="gramStart"/>
      <w:r w:rsidRPr="009E3CCB">
        <w:t>margins—</w:t>
      </w:r>
      <w:proofErr w:type="gramEnd"/>
      <w:r w:rsidRPr="009E3CCB">
        <w:t>the foundational commercial metrics are flashing positive signals. The structural shift toward high-margin applied industrial markets drove the gross margin up to 57.53% in 2024, proving the underlying unit economics of the hardware are scaling effectively.</w:t>
      </w:r>
      <w:r w:rsidRPr="009E3CCB">
        <w:rPr>
          <w:vertAlign w:val="superscript"/>
        </w:rPr>
        <w:t>10</w:t>
      </w:r>
    </w:p>
    <w:p w14:paraId="72BE3CFE" w14:textId="77777777" w:rsidR="009E3CCB" w:rsidRPr="009E3CCB" w:rsidRDefault="009E3CCB" w:rsidP="009E3CCB">
      <w:r w:rsidRPr="009E3CCB">
        <w:t>Crucially, ONT has masterfully managed its capital structure amidst a hostile macroeconomic environment. By maintaining negligible gearing (7.54%) and safeguarding a massive £403.8 million cash runway via strategic equity injections, management insulated the firm from immediate insolvency and high debt-servicing costs.</w:t>
      </w:r>
      <w:r w:rsidRPr="009E3CCB">
        <w:rPr>
          <w:vertAlign w:val="superscript"/>
        </w:rPr>
        <w:t>5</w:t>
      </w:r>
      <w:r w:rsidRPr="009E3CCB">
        <w:t xml:space="preserve"> While market coefficients highlight extreme volatility (57.6%) and a punishing historical return profile, the equity has likely fully priced in the delayed profitability timeline extending to 2027.</w:t>
      </w:r>
      <w:r w:rsidRPr="009E3CCB">
        <w:rPr>
          <w:vertAlign w:val="superscript"/>
        </w:rPr>
        <w:t>6</w:t>
      </w:r>
    </w:p>
    <w:p w14:paraId="0736DD87" w14:textId="77777777" w:rsidR="009E3CCB" w:rsidRPr="009E3CCB" w:rsidRDefault="009E3CCB" w:rsidP="009E3CCB">
      <w:r w:rsidRPr="009E3CCB">
        <w:rPr>
          <w:b/>
          <w:bCs/>
        </w:rPr>
        <w:t>Recommendation: Speculative Buy</w:t>
      </w:r>
    </w:p>
    <w:p w14:paraId="5EDD4441" w14:textId="77777777" w:rsidR="009E3CCB" w:rsidRPr="009E3CCB" w:rsidRDefault="009E3CCB" w:rsidP="009E3CCB">
      <w:r w:rsidRPr="009E3CCB">
        <w:lastRenderedPageBreak/>
        <w:t xml:space="preserve">ONT presents a highly asymmetrical risk/reward profile suitable for investors with high risk tolerance. The recommendation is a </w:t>
      </w:r>
      <w:r w:rsidRPr="009E3CCB">
        <w:rPr>
          <w:b/>
          <w:bCs/>
        </w:rPr>
        <w:t>Speculative Buy</w:t>
      </w:r>
      <w:r w:rsidRPr="009E3CCB">
        <w:t xml:space="preserve"> based on the following logic:</w:t>
      </w:r>
    </w:p>
    <w:p w14:paraId="69906500" w14:textId="77777777" w:rsidR="009E3CCB" w:rsidRPr="009E3CCB" w:rsidRDefault="009E3CCB" w:rsidP="009E3CCB">
      <w:pPr>
        <w:numPr>
          <w:ilvl w:val="0"/>
          <w:numId w:val="3"/>
        </w:numPr>
      </w:pPr>
      <w:r w:rsidRPr="009E3CCB">
        <w:rPr>
          <w:b/>
          <w:bCs/>
        </w:rPr>
        <w:t>Reward Potential:</w:t>
      </w:r>
      <w:r w:rsidRPr="009E3CCB">
        <w:t xml:space="preserve"> Gross margins are expanding rapidly as the PromethION device captures market share.</w:t>
      </w:r>
      <w:r w:rsidRPr="009E3CCB">
        <w:rPr>
          <w:vertAlign w:val="superscript"/>
        </w:rPr>
        <w:t>4</w:t>
      </w:r>
      <w:r w:rsidRPr="009E3CCB">
        <w:t xml:space="preserve"> The management goal to reach EBITDA breakeven by 2027 provides a clear timeline for value realization.</w:t>
      </w:r>
      <w:r w:rsidRPr="009E3CCB">
        <w:rPr>
          <w:vertAlign w:val="superscript"/>
        </w:rPr>
        <w:t>6</w:t>
      </w:r>
    </w:p>
    <w:p w14:paraId="637FA6B6" w14:textId="77777777" w:rsidR="009E3CCB" w:rsidRPr="009E3CCB" w:rsidRDefault="009E3CCB" w:rsidP="009E3CCB">
      <w:pPr>
        <w:numPr>
          <w:ilvl w:val="0"/>
          <w:numId w:val="3"/>
        </w:numPr>
      </w:pPr>
      <w:r w:rsidRPr="009E3CCB">
        <w:rPr>
          <w:b/>
          <w:bCs/>
        </w:rPr>
        <w:t>Downside Protection:</w:t>
      </w:r>
      <w:r w:rsidRPr="009E3CCB">
        <w:t xml:space="preserve"> With over £400 million in liquidity and zero structural debt as of late 2024, near-term bankruptcy risk is statistically minimal.</w:t>
      </w:r>
      <w:r w:rsidRPr="009E3CCB">
        <w:rPr>
          <w:vertAlign w:val="superscript"/>
        </w:rPr>
        <w:t>5</w:t>
      </w:r>
    </w:p>
    <w:p w14:paraId="332B7BAB" w14:textId="77777777" w:rsidR="009E3CCB" w:rsidRPr="009E3CCB" w:rsidRDefault="009E3CCB" w:rsidP="009E3CCB">
      <w:pPr>
        <w:numPr>
          <w:ilvl w:val="0"/>
          <w:numId w:val="3"/>
        </w:numPr>
      </w:pPr>
      <w:r w:rsidRPr="009E3CCB">
        <w:rPr>
          <w:b/>
          <w:bCs/>
        </w:rPr>
        <w:t>Market Pricing:</w:t>
      </w:r>
      <w:r w:rsidRPr="009E3CCB">
        <w:t xml:space="preserve"> The heavy stock drawdown from 2022 to 2024 has discounted the </w:t>
      </w:r>
      <w:proofErr w:type="gramStart"/>
      <w:r w:rsidRPr="009E3CCB">
        <w:t>asset</w:t>
      </w:r>
      <w:proofErr w:type="gramEnd"/>
      <w:r w:rsidRPr="009E3CCB">
        <w:t xml:space="preserve"> significantly. At current levels, the stock offers an attractive entry point for exposure to a disruptive, sector-leading technology platform.</w:t>
      </w:r>
    </w:p>
    <w:p w14:paraId="26342A03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Section 5: Appendix</w:t>
      </w:r>
    </w:p>
    <w:p w14:paraId="3A3C753B" w14:textId="77777777" w:rsidR="009E3CCB" w:rsidRPr="009E3CCB" w:rsidRDefault="009E3CCB" w:rsidP="009E3CCB">
      <w:r w:rsidRPr="009E3CCB">
        <w:rPr>
          <w:b/>
          <w:bCs/>
        </w:rPr>
        <w:t>AI Usage Disclosure:</w:t>
      </w:r>
    </w:p>
    <w:p w14:paraId="3C6A1E7E" w14:textId="77777777" w:rsidR="009E3CCB" w:rsidRPr="009E3CCB" w:rsidRDefault="009E3CCB" w:rsidP="009E3CCB">
      <w:r w:rsidRPr="009E3CCB">
        <w:t>In strict accordance with academic integrity guidelines, Generative AI was utilized exclusively as an assistive formatting and syntactical refinement tool.</w:t>
      </w:r>
    </w:p>
    <w:p w14:paraId="4E209B3E" w14:textId="77777777" w:rsidR="009E3CCB" w:rsidRPr="009E3CCB" w:rsidRDefault="009E3CCB" w:rsidP="009E3CCB">
      <w:pPr>
        <w:numPr>
          <w:ilvl w:val="0"/>
          <w:numId w:val="4"/>
        </w:numPr>
      </w:pPr>
      <w:r w:rsidRPr="009E3CCB">
        <w:rPr>
          <w:b/>
          <w:bCs/>
        </w:rPr>
        <w:t>Inputs:</w:t>
      </w:r>
      <w:r w:rsidRPr="009E3CCB">
        <w:t xml:space="preserve"> Raw CSV financial datasets (containing balance sheets, income statements, historical pricing, and calculated ratios for ONT, Genus PLC, and the FTSE 350 spanning 2022-2024) and specific institutional formatting constraints.</w:t>
      </w:r>
    </w:p>
    <w:p w14:paraId="53F080B3" w14:textId="77777777" w:rsidR="009E3CCB" w:rsidRPr="009E3CCB" w:rsidRDefault="009E3CCB" w:rsidP="009E3CCB">
      <w:pPr>
        <w:numPr>
          <w:ilvl w:val="0"/>
          <w:numId w:val="4"/>
        </w:numPr>
      </w:pPr>
      <w:r w:rsidRPr="009E3CCB">
        <w:rPr>
          <w:b/>
          <w:bCs/>
        </w:rPr>
        <w:t>Outputs:</w:t>
      </w:r>
      <w:r w:rsidRPr="009E3CCB">
        <w:t xml:space="preserve"> AI generated properly aligned Markdown tables for data presentation and ensured the analytical prose adhered to a continuous, third-person professional tone. All data interpretations, causal links between working capital adjustments and cash preservation, risk/return paradigm assessments, and the final recommendation logic are entirely original products of human analysis based on the provided parameters.</w:t>
      </w:r>
    </w:p>
    <w:p w14:paraId="4C863170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t>Section 6: References</w:t>
      </w:r>
    </w:p>
    <w:p w14:paraId="53236A6E" w14:textId="77777777" w:rsidR="009E3CCB" w:rsidRPr="009E3CCB" w:rsidRDefault="009E3CCB" w:rsidP="009E3CCB">
      <w:r w:rsidRPr="009E3CCB">
        <w:t xml:space="preserve">BIA (2024) </w:t>
      </w:r>
      <w:r w:rsidRPr="009E3CCB">
        <w:rPr>
          <w:i/>
          <w:iCs/>
        </w:rPr>
        <w:t>A vision for the UK life sciences sector</w:t>
      </w:r>
      <w:r w:rsidRPr="009E3CCB">
        <w:t xml:space="preserve">. Available from: </w:t>
      </w:r>
      <w:hyperlink r:id="rId5" w:history="1">
        <w:r w:rsidRPr="009E3CCB">
          <w:rPr>
            <w:rStyle w:val="Hyperlink"/>
          </w:rPr>
          <w:t>https://www.bioindustry.org/resource-report/a-vision-for-the-uk-life-sciences-sector.html</w:t>
        </w:r>
      </w:hyperlink>
      <w:r w:rsidRPr="009E3CCB">
        <w:t xml:space="preserve"> [Accessed 01 March 2026].</w:t>
      </w:r>
    </w:p>
    <w:p w14:paraId="10B6E883" w14:textId="77777777" w:rsidR="009E3CCB" w:rsidRPr="009E3CCB" w:rsidRDefault="009E3CCB" w:rsidP="009E3CCB">
      <w:r w:rsidRPr="009E3CCB">
        <w:t xml:space="preserve">Department of Health and Social Care (2024) </w:t>
      </w:r>
      <w:r w:rsidRPr="009E3CCB">
        <w:rPr>
          <w:i/>
          <w:iCs/>
        </w:rPr>
        <w:t>Life Sciences Competitiveness Indicators 2024</w:t>
      </w:r>
      <w:r w:rsidRPr="009E3CCB">
        <w:t xml:space="preserve">. Available from: </w:t>
      </w:r>
      <w:hyperlink r:id="rId6" w:history="1">
        <w:r w:rsidRPr="009E3CCB">
          <w:rPr>
            <w:rStyle w:val="Hyperlink"/>
          </w:rPr>
          <w:t>https://www.gov.uk/government/publications/life-sciences-sector-data-2024/life-sciences-competitiveness-indicators-2024-summary</w:t>
        </w:r>
      </w:hyperlink>
      <w:r w:rsidRPr="009E3CCB">
        <w:t xml:space="preserve"> [Accessed 01 March 2026].</w:t>
      </w:r>
    </w:p>
    <w:p w14:paraId="5402A84E" w14:textId="77777777" w:rsidR="009E3CCB" w:rsidRPr="009E3CCB" w:rsidRDefault="009E3CCB" w:rsidP="009E3CCB">
      <w:r w:rsidRPr="009E3CCB">
        <w:t xml:space="preserve">London Stock Exchange (2025) </w:t>
      </w:r>
      <w:r w:rsidRPr="009E3CCB">
        <w:rPr>
          <w:i/>
          <w:iCs/>
        </w:rPr>
        <w:t>Oxford Nanopore Technologies plc: Annual results for the year ended 31 December 2024</w:t>
      </w:r>
      <w:r w:rsidRPr="009E3CCB">
        <w:t xml:space="preserve">. Available from: </w:t>
      </w:r>
      <w:hyperlink r:id="rId7" w:history="1">
        <w:r w:rsidRPr="009E3CCB">
          <w:rPr>
            <w:rStyle w:val="Hyperlink"/>
          </w:rPr>
          <w:t>https://www.londonstockexchange.com/news-article/ONT/annual-results-for-the-year-ended-31-december-2024/16923441</w:t>
        </w:r>
      </w:hyperlink>
      <w:r w:rsidRPr="009E3CCB">
        <w:t xml:space="preserve"> [Accessed 01 March 2026].</w:t>
      </w:r>
    </w:p>
    <w:p w14:paraId="04FF9374" w14:textId="77777777" w:rsidR="009E3CCB" w:rsidRPr="009E3CCB" w:rsidRDefault="009E3CCB" w:rsidP="009E3CCB">
      <w:r w:rsidRPr="009E3CCB">
        <w:t xml:space="preserve">Oxford Nanopore Technologies (2024) </w:t>
      </w:r>
      <w:r w:rsidRPr="009E3CCB">
        <w:rPr>
          <w:i/>
          <w:iCs/>
        </w:rPr>
        <w:t>Preliminary results for the year ended 31 December 2023</w:t>
      </w:r>
      <w:r w:rsidRPr="009E3CCB">
        <w:t xml:space="preserve">. Available from: </w:t>
      </w:r>
      <w:hyperlink r:id="rId8" w:history="1">
        <w:r w:rsidRPr="009E3CCB">
          <w:rPr>
            <w:rStyle w:val="Hyperlink"/>
          </w:rPr>
          <w:t>https://nanoporetech.com/news/news-preliminary-results-year-ended-31-december-2023</w:t>
        </w:r>
      </w:hyperlink>
      <w:r w:rsidRPr="009E3CCB">
        <w:t xml:space="preserve"> [Accessed 01 March 2026].</w:t>
      </w:r>
    </w:p>
    <w:p w14:paraId="5BC877D2" w14:textId="77777777" w:rsidR="009E3CCB" w:rsidRPr="009E3CCB" w:rsidRDefault="009E3CCB" w:rsidP="009E3CCB">
      <w:pPr>
        <w:rPr>
          <w:b/>
          <w:bCs/>
        </w:rPr>
      </w:pPr>
      <w:r w:rsidRPr="009E3CCB">
        <w:rPr>
          <w:b/>
          <w:bCs/>
        </w:rPr>
        <w:lastRenderedPageBreak/>
        <w:t>Works cited</w:t>
      </w:r>
    </w:p>
    <w:p w14:paraId="34A99359" w14:textId="77777777" w:rsidR="009E3CCB" w:rsidRPr="009E3CCB" w:rsidRDefault="009E3CCB" w:rsidP="009E3CCB">
      <w:pPr>
        <w:numPr>
          <w:ilvl w:val="0"/>
          <w:numId w:val="5"/>
        </w:numPr>
      </w:pPr>
      <w:r w:rsidRPr="009E3CCB">
        <w:t xml:space="preserve">Oxford Nanopore Technologies - Wikipedia, accessed March 1, 2026, </w:t>
      </w:r>
      <w:hyperlink r:id="rId9" w:history="1">
        <w:r w:rsidRPr="009E3CCB">
          <w:rPr>
            <w:rStyle w:val="Hyperlink"/>
          </w:rPr>
          <w:t>https://en.wikipedia.org/wiki/Oxford_Nanopore_Technologies</w:t>
        </w:r>
      </w:hyperlink>
    </w:p>
    <w:p w14:paraId="688691ED" w14:textId="77777777" w:rsidR="009E3CCB" w:rsidRPr="009E3CCB" w:rsidRDefault="009E3CCB" w:rsidP="009E3CCB">
      <w:pPr>
        <w:numPr>
          <w:ilvl w:val="0"/>
          <w:numId w:val="5"/>
        </w:numPr>
      </w:pPr>
      <w:r w:rsidRPr="009E3CCB">
        <w:t xml:space="preserve">PromethION | Oxford Nanopore Technologies, accessed March 1, 2026, </w:t>
      </w:r>
      <w:hyperlink r:id="rId10" w:history="1">
        <w:r w:rsidRPr="009E3CCB">
          <w:rPr>
            <w:rStyle w:val="Hyperlink"/>
          </w:rPr>
          <w:t>https://nanoporetech.com/document/promethion</w:t>
        </w:r>
      </w:hyperlink>
    </w:p>
    <w:p w14:paraId="0D990DB6" w14:textId="77777777" w:rsidR="009E3CCB" w:rsidRPr="009E3CCB" w:rsidRDefault="009E3CCB" w:rsidP="009E3CCB">
      <w:pPr>
        <w:numPr>
          <w:ilvl w:val="0"/>
          <w:numId w:val="5"/>
        </w:numPr>
      </w:pPr>
      <w:r w:rsidRPr="009E3CCB">
        <w:t xml:space="preserve">Oxford Nanopore Technologies IPO Case Study | London Stock Exchange, accessed March 1, 2026, </w:t>
      </w:r>
      <w:hyperlink r:id="rId11" w:history="1">
        <w:r w:rsidRPr="009E3CCB">
          <w:rPr>
            <w:rStyle w:val="Hyperlink"/>
          </w:rPr>
          <w:t>https://www.londonstockexchange.com/discover/news-and-insights/oxford-nanopore-technologies-ipo-case-study</w:t>
        </w:r>
      </w:hyperlink>
    </w:p>
    <w:p w14:paraId="43AFC613" w14:textId="77777777" w:rsidR="009E3CCB" w:rsidRPr="009E3CCB" w:rsidRDefault="009E3CCB" w:rsidP="009E3CCB">
      <w:pPr>
        <w:numPr>
          <w:ilvl w:val="0"/>
          <w:numId w:val="5"/>
        </w:numPr>
      </w:pPr>
      <w:r w:rsidRPr="009E3CCB">
        <w:t xml:space="preserve">Oxford Nanopore - Annual results for the year ended 31 December 2024 – IP Group plc, accessed March 1, 2026, </w:t>
      </w:r>
      <w:hyperlink r:id="rId12" w:history="1">
        <w:r w:rsidRPr="009E3CCB">
          <w:rPr>
            <w:rStyle w:val="Hyperlink"/>
          </w:rPr>
          <w:t>https://www.ipgroupplc.com/news-and-events/portfolio-news/2025/2025-03-04a</w:t>
        </w:r>
      </w:hyperlink>
    </w:p>
    <w:p w14:paraId="494EA144" w14:textId="77777777" w:rsidR="009E3CCB" w:rsidRPr="009E3CCB" w:rsidRDefault="009E3CCB" w:rsidP="009E3CCB">
      <w:pPr>
        <w:numPr>
          <w:ilvl w:val="0"/>
          <w:numId w:val="5"/>
        </w:numPr>
      </w:pPr>
      <w:r w:rsidRPr="009E3CCB">
        <w:t xml:space="preserve">Annual results for the year ended 31 December 2024 - 07:00:10 03 Mar 2025 - ONT News article | London Stock Exchange, accessed March 1, 2026, </w:t>
      </w:r>
      <w:hyperlink r:id="rId13" w:history="1">
        <w:r w:rsidRPr="009E3CCB">
          <w:rPr>
            <w:rStyle w:val="Hyperlink"/>
          </w:rPr>
          <w:t>https://www.londonstockexchange.com/news-article/ONT/annual-results-for-the-year-ended-31-december-2024/16923441</w:t>
        </w:r>
      </w:hyperlink>
    </w:p>
    <w:p w14:paraId="688D89CA" w14:textId="77777777" w:rsidR="009E3CCB" w:rsidRPr="009E3CCB" w:rsidRDefault="009E3CCB" w:rsidP="009E3CCB">
      <w:pPr>
        <w:numPr>
          <w:ilvl w:val="0"/>
          <w:numId w:val="5"/>
        </w:numPr>
      </w:pPr>
      <w:r w:rsidRPr="009E3CCB">
        <w:t xml:space="preserve">Preliminary results for the year ended 31 December 2023 - Oxford Nanopore Technologies, accessed March 1, 2026, </w:t>
      </w:r>
      <w:hyperlink r:id="rId14" w:history="1">
        <w:r w:rsidRPr="009E3CCB">
          <w:rPr>
            <w:rStyle w:val="Hyperlink"/>
          </w:rPr>
          <w:t>https://nanoporetech.com/news/news-preliminary-results-year-ended-31-december-2023</w:t>
        </w:r>
      </w:hyperlink>
    </w:p>
    <w:p w14:paraId="18EBED4A" w14:textId="77777777" w:rsidR="009E3CCB" w:rsidRPr="009E3CCB" w:rsidRDefault="009E3CCB" w:rsidP="009E3CCB">
      <w:pPr>
        <w:numPr>
          <w:ilvl w:val="0"/>
          <w:numId w:val="5"/>
        </w:numPr>
      </w:pPr>
      <w:r w:rsidRPr="009E3CCB">
        <w:t xml:space="preserve">Life Sciences Sector Plan - GOV.UK, accessed March 1, 2026, </w:t>
      </w:r>
      <w:hyperlink r:id="rId15" w:history="1">
        <w:r w:rsidRPr="009E3CCB">
          <w:rPr>
            <w:rStyle w:val="Hyperlink"/>
          </w:rPr>
          <w:t>https://www.gov.uk/government/publications/life-sciences-sector-plan/life-sciences-sector-plan</w:t>
        </w:r>
      </w:hyperlink>
    </w:p>
    <w:p w14:paraId="2DFB00BB" w14:textId="77777777" w:rsidR="009E3CCB" w:rsidRPr="009E3CCB" w:rsidRDefault="009E3CCB" w:rsidP="009E3CCB">
      <w:pPr>
        <w:numPr>
          <w:ilvl w:val="0"/>
          <w:numId w:val="5"/>
        </w:numPr>
      </w:pPr>
      <w:r w:rsidRPr="009E3CCB">
        <w:t xml:space="preserve">UK R&amp;D Spending Surges in 2025, Led by Pharma and Biotech - FI Group, accessed March 1, 2026, </w:t>
      </w:r>
      <w:hyperlink r:id="rId16" w:history="1">
        <w:r w:rsidRPr="009E3CCB">
          <w:rPr>
            <w:rStyle w:val="Hyperlink"/>
          </w:rPr>
          <w:t>https://www.fi-group.uk/uk-rd-spending-surges-in-2025-led-by-pharma-and-biotech</w:t>
        </w:r>
      </w:hyperlink>
    </w:p>
    <w:p w14:paraId="1157DF67" w14:textId="77777777" w:rsidR="009E3CCB" w:rsidRPr="009E3CCB" w:rsidRDefault="009E3CCB" w:rsidP="009E3CCB">
      <w:pPr>
        <w:numPr>
          <w:ilvl w:val="0"/>
          <w:numId w:val="5"/>
        </w:numPr>
      </w:pPr>
      <w:r w:rsidRPr="009E3CCB">
        <w:t xml:space="preserve">A Vision for the UK life sciences sector in 2035 - BioIndustry Association | BIA, accessed March 1, 2026, </w:t>
      </w:r>
      <w:hyperlink r:id="rId17" w:history="1">
        <w:r w:rsidRPr="009E3CCB">
          <w:rPr>
            <w:rStyle w:val="Hyperlink"/>
          </w:rPr>
          <w:t>https://www.bioindustry.org/resource-report/a-vision-for-the-uk-life-sciences-sector.html</w:t>
        </w:r>
      </w:hyperlink>
    </w:p>
    <w:p w14:paraId="7322213F" w14:textId="77777777" w:rsidR="009E3CCB" w:rsidRPr="009E3CCB" w:rsidRDefault="009E3CCB" w:rsidP="009E3CCB">
      <w:pPr>
        <w:numPr>
          <w:ilvl w:val="0"/>
          <w:numId w:val="5"/>
        </w:numPr>
      </w:pPr>
      <w:r w:rsidRPr="009E3CCB">
        <w:t>(Excel) 25062677_10240511_NguyenThanhBinh.xlsx</w:t>
      </w:r>
    </w:p>
    <w:p w14:paraId="5D66B09C" w14:textId="77777777" w:rsidR="00C84EB6" w:rsidRDefault="00C84EB6"/>
    <w:sectPr w:rsidR="00C84EB6" w:rsidSect="003144F9">
      <w:pgSz w:w="11906" w:h="16838" w:code="9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72592"/>
    <w:multiLevelType w:val="multilevel"/>
    <w:tmpl w:val="184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3341C"/>
    <w:multiLevelType w:val="multilevel"/>
    <w:tmpl w:val="B8BE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E026A1"/>
    <w:multiLevelType w:val="hybridMultilevel"/>
    <w:tmpl w:val="CAD25316"/>
    <w:lvl w:ilvl="0" w:tplc="114E5FD8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E87036"/>
    <w:multiLevelType w:val="multilevel"/>
    <w:tmpl w:val="3578BD6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515053A"/>
    <w:multiLevelType w:val="multilevel"/>
    <w:tmpl w:val="7696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88018">
    <w:abstractNumId w:val="2"/>
  </w:num>
  <w:num w:numId="2" w16cid:durableId="1340111568">
    <w:abstractNumId w:val="3"/>
  </w:num>
  <w:num w:numId="3" w16cid:durableId="660548784">
    <w:abstractNumId w:val="4"/>
  </w:num>
  <w:num w:numId="4" w16cid:durableId="560866792">
    <w:abstractNumId w:val="0"/>
  </w:num>
  <w:num w:numId="5" w16cid:durableId="868301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CB"/>
    <w:rsid w:val="003144F9"/>
    <w:rsid w:val="0033793F"/>
    <w:rsid w:val="00363777"/>
    <w:rsid w:val="005B4DC6"/>
    <w:rsid w:val="00890748"/>
    <w:rsid w:val="008E1628"/>
    <w:rsid w:val="009E3CCB"/>
    <w:rsid w:val="009F7E12"/>
    <w:rsid w:val="00B073E7"/>
    <w:rsid w:val="00C84EB6"/>
    <w:rsid w:val="00F3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10B7"/>
  <w15:chartTrackingRefBased/>
  <w15:docId w15:val="{C5364804-4DED-4CDF-A902-0C17A487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793F"/>
    <w:pPr>
      <w:keepNext/>
      <w:keepLines/>
      <w:numPr>
        <w:numId w:val="2"/>
      </w:numPr>
      <w:spacing w:before="360" w:after="80"/>
      <w:ind w:hanging="36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93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C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3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C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noporetech.com/news/news-preliminary-results-year-ended-31-december-2023" TargetMode="External"/><Relationship Id="rId13" Type="http://schemas.openxmlformats.org/officeDocument/2006/relationships/hyperlink" Target="https://www.londonstockexchange.com/news-article/ONT/annual-results-for-the-year-ended-31-december-2024/1692344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ondonstockexchange.com/news-article/ONT/annual-results-for-the-year-ended-31-december-2024/16923441" TargetMode="External"/><Relationship Id="rId12" Type="http://schemas.openxmlformats.org/officeDocument/2006/relationships/hyperlink" Target="https://www.ipgroupplc.com/news-and-events/portfolio-news/2025/2025-03-04a" TargetMode="External"/><Relationship Id="rId17" Type="http://schemas.openxmlformats.org/officeDocument/2006/relationships/hyperlink" Target="https://www.bioindustry.org/resource-report/a-vision-for-the-uk-life-sciences-sector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i-group.uk/uk-rd-spending-surges-in-2025-led-by-pharma-and-biotec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v.uk/government/publications/life-sciences-sector-data-2024/life-sciences-competitiveness-indicators-2024-summary" TargetMode="External"/><Relationship Id="rId11" Type="http://schemas.openxmlformats.org/officeDocument/2006/relationships/hyperlink" Target="https://www.londonstockexchange.com/discover/news-and-insights/oxford-nanopore-technologies-ipo-case-study" TargetMode="External"/><Relationship Id="rId5" Type="http://schemas.openxmlformats.org/officeDocument/2006/relationships/hyperlink" Target="https://www.bioindustry.org/resource-report/a-vision-for-the-uk-life-sciences-sector.html" TargetMode="External"/><Relationship Id="rId15" Type="http://schemas.openxmlformats.org/officeDocument/2006/relationships/hyperlink" Target="https://www.gov.uk/government/publications/life-sciences-sector-plan/life-sciences-sector-plan" TargetMode="External"/><Relationship Id="rId10" Type="http://schemas.openxmlformats.org/officeDocument/2006/relationships/hyperlink" Target="https://nanoporetech.com/document/promethio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Oxford_Nanopore_Technologies" TargetMode="External"/><Relationship Id="rId14" Type="http://schemas.openxmlformats.org/officeDocument/2006/relationships/hyperlink" Target="https://nanoporetech.com/news/news-preliminary-results-year-ended-31-december-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2350</Words>
  <Characters>13396</Characters>
  <Application>Microsoft Office Word</Application>
  <DocSecurity>0</DocSecurity>
  <Lines>111</Lines>
  <Paragraphs>31</Paragraphs>
  <ScaleCrop>false</ScaleCrop>
  <Company/>
  <LinksUpToDate>false</LinksUpToDate>
  <CharactersWithSpaces>15715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Nguyen</dc:creator>
  <cp:keywords/>
  <dc:description/>
  <cp:lastModifiedBy>Binh Nguyen</cp:lastModifiedBy>
  <cp:revision>1</cp:revision>
  <dcterms:created xsi:type="dcterms:W3CDTF">2026-03-04T12:59:00Z</dcterms:created>
  <dcterms:modified xsi:type="dcterms:W3CDTF">2026-03-04T13:00:00Z</dcterms:modified>
</cp:coreProperties>
</file>