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06C30" w14:textId="30A3562E" w:rsidR="00CE79CD" w:rsidRDefault="008F71D5" w:rsidP="00513207">
      <w:pPr>
        <w:spacing w:after="120"/>
        <w:rPr>
          <w:sz w:val="28"/>
          <w:szCs w:val="28"/>
        </w:rPr>
      </w:pPr>
      <w:bookmarkStart w:id="0" w:name="_Hlk52124198"/>
      <w:r>
        <w:rPr>
          <w:sz w:val="28"/>
          <w:szCs w:val="28"/>
        </w:rPr>
        <w:t xml:space="preserve">TASKS: </w:t>
      </w:r>
      <w:r w:rsidR="00C2242F">
        <w:rPr>
          <w:sz w:val="28"/>
          <w:szCs w:val="28"/>
        </w:rPr>
        <w:t xml:space="preserve">Investment </w:t>
      </w:r>
      <w:r w:rsidR="00CE79CD">
        <w:rPr>
          <w:sz w:val="28"/>
          <w:szCs w:val="28"/>
        </w:rPr>
        <w:t xml:space="preserve">Appraisal </w:t>
      </w:r>
      <w:r>
        <w:rPr>
          <w:sz w:val="28"/>
          <w:szCs w:val="28"/>
        </w:rPr>
        <w:t xml:space="preserve">part 2 </w:t>
      </w:r>
      <w:r w:rsidR="00CE79CD">
        <w:rPr>
          <w:sz w:val="28"/>
          <w:szCs w:val="28"/>
        </w:rPr>
        <w:t xml:space="preserve">– </w:t>
      </w:r>
      <w:r w:rsidR="007C1402">
        <w:rPr>
          <w:sz w:val="28"/>
          <w:szCs w:val="28"/>
        </w:rPr>
        <w:t>NPV and IRR</w:t>
      </w:r>
    </w:p>
    <w:bookmarkEnd w:id="0"/>
    <w:p w14:paraId="0899FB69" w14:textId="60924B01" w:rsidR="00513207" w:rsidRPr="00AF1206" w:rsidRDefault="00E06CB2" w:rsidP="00AF1206">
      <w:pPr>
        <w:pStyle w:val="ListParagraph"/>
        <w:widowControl w:val="0"/>
        <w:numPr>
          <w:ilvl w:val="0"/>
          <w:numId w:val="13"/>
        </w:numPr>
        <w:autoSpaceDE w:val="0"/>
        <w:autoSpaceDN w:val="0"/>
        <w:adjustRightInd w:val="0"/>
        <w:spacing w:before="60"/>
        <w:ind w:left="284" w:hanging="284"/>
        <w:jc w:val="both"/>
        <w:rPr>
          <w:rFonts w:eastAsia="Calibri"/>
          <w:b/>
          <w:sz w:val="24"/>
          <w:szCs w:val="18"/>
        </w:rPr>
      </w:pPr>
      <w:r>
        <w:rPr>
          <w:rFonts w:eastAsia="Calibri"/>
          <w:b/>
          <w:sz w:val="24"/>
          <w:szCs w:val="18"/>
        </w:rPr>
        <w:t>Net Present Value</w:t>
      </w:r>
    </w:p>
    <w:p w14:paraId="779E2B23" w14:textId="42BDBAE5" w:rsidR="00513207" w:rsidRPr="008F71D5" w:rsidRDefault="00513207" w:rsidP="008F71D5">
      <w:pPr>
        <w:widowControl w:val="0"/>
        <w:autoSpaceDE w:val="0"/>
        <w:autoSpaceDN w:val="0"/>
        <w:adjustRightInd w:val="0"/>
        <w:spacing w:before="60"/>
        <w:ind w:left="284"/>
        <w:jc w:val="both"/>
        <w:rPr>
          <w:sz w:val="24"/>
          <w:szCs w:val="18"/>
        </w:rPr>
      </w:pPr>
      <w:r w:rsidRPr="008F71D5">
        <w:rPr>
          <w:sz w:val="24"/>
          <w:szCs w:val="18"/>
        </w:rPr>
        <w:t xml:space="preserve">Bulb Co. has identified the following two mutually exclusive projects: </w:t>
      </w:r>
    </w:p>
    <w:tbl>
      <w:tblPr>
        <w:tblStyle w:val="GridTable1Light"/>
        <w:tblW w:w="7004" w:type="dxa"/>
        <w:jc w:val="center"/>
        <w:tblLook w:val="04A0" w:firstRow="1" w:lastRow="0" w:firstColumn="1" w:lastColumn="0" w:noHBand="0" w:noVBand="1"/>
      </w:tblPr>
      <w:tblGrid>
        <w:gridCol w:w="993"/>
        <w:gridCol w:w="3005"/>
        <w:gridCol w:w="3006"/>
      </w:tblGrid>
      <w:tr w:rsidR="00513207" w14:paraId="2DD14A88" w14:textId="77777777" w:rsidTr="005132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left w:val="nil"/>
              <w:right w:val="nil"/>
            </w:tcBorders>
            <w:vAlign w:val="center"/>
          </w:tcPr>
          <w:p w14:paraId="0E67251E" w14:textId="77777777" w:rsidR="00513207" w:rsidRDefault="00513207" w:rsidP="00B671CD">
            <w:pPr>
              <w:pStyle w:val="ListParagraph"/>
              <w:widowControl w:val="0"/>
              <w:autoSpaceDE w:val="0"/>
              <w:autoSpaceDN w:val="0"/>
              <w:adjustRightInd w:val="0"/>
              <w:spacing w:before="60"/>
              <w:ind w:left="0"/>
              <w:jc w:val="both"/>
              <w:rPr>
                <w:rFonts w:eastAsia="Calibri"/>
                <w:sz w:val="24"/>
                <w:szCs w:val="18"/>
              </w:rPr>
            </w:pPr>
            <w:bookmarkStart w:id="1" w:name="_Hlk54359425"/>
            <w:r w:rsidRPr="000C2E4F">
              <w:rPr>
                <w:color w:val="211D1E"/>
                <w:sz w:val="24"/>
              </w:rPr>
              <w:t xml:space="preserve">Year </w:t>
            </w:r>
          </w:p>
        </w:tc>
        <w:tc>
          <w:tcPr>
            <w:tcW w:w="3005" w:type="dxa"/>
            <w:tcBorders>
              <w:top w:val="nil"/>
              <w:left w:val="nil"/>
              <w:right w:val="nil"/>
            </w:tcBorders>
            <w:vAlign w:val="center"/>
          </w:tcPr>
          <w:p w14:paraId="2607A121" w14:textId="7A602625" w:rsidR="00513207" w:rsidRDefault="00513207" w:rsidP="00B671CD">
            <w:pPr>
              <w:pStyle w:val="ListParagraph"/>
              <w:widowControl w:val="0"/>
              <w:autoSpaceDE w:val="0"/>
              <w:autoSpaceDN w:val="0"/>
              <w:adjustRightInd w:val="0"/>
              <w:spacing w:before="60"/>
              <w:ind w:left="0"/>
              <w:jc w:val="center"/>
              <w:cnfStyle w:val="100000000000" w:firstRow="1" w:lastRow="0" w:firstColumn="0" w:lastColumn="0" w:oddVBand="0" w:evenVBand="0" w:oddHBand="0" w:evenHBand="0" w:firstRowFirstColumn="0" w:firstRowLastColumn="0" w:lastRowFirstColumn="0" w:lastRowLastColumn="0"/>
              <w:rPr>
                <w:rFonts w:eastAsia="Calibri"/>
                <w:sz w:val="24"/>
                <w:szCs w:val="18"/>
              </w:rPr>
            </w:pPr>
            <w:r>
              <w:rPr>
                <w:color w:val="211D1E"/>
                <w:sz w:val="24"/>
              </w:rPr>
              <w:t xml:space="preserve">Project </w:t>
            </w:r>
            <w:r w:rsidRPr="000C2E4F">
              <w:rPr>
                <w:color w:val="211D1E"/>
                <w:sz w:val="24"/>
              </w:rPr>
              <w:t>A (</w:t>
            </w:r>
            <w:r>
              <w:rPr>
                <w:color w:val="211D1E"/>
                <w:sz w:val="24"/>
              </w:rPr>
              <w:t>$</w:t>
            </w:r>
            <w:r w:rsidRPr="000C2E4F">
              <w:rPr>
                <w:color w:val="211D1E"/>
                <w:sz w:val="24"/>
              </w:rPr>
              <w:t>)</w:t>
            </w:r>
          </w:p>
        </w:tc>
        <w:tc>
          <w:tcPr>
            <w:tcW w:w="3006" w:type="dxa"/>
            <w:tcBorders>
              <w:top w:val="nil"/>
              <w:left w:val="nil"/>
              <w:right w:val="nil"/>
            </w:tcBorders>
            <w:vAlign w:val="center"/>
          </w:tcPr>
          <w:p w14:paraId="0DBD2F6E" w14:textId="150E68AB" w:rsidR="00513207" w:rsidRDefault="00513207" w:rsidP="00B671CD">
            <w:pPr>
              <w:pStyle w:val="ListParagraph"/>
              <w:widowControl w:val="0"/>
              <w:autoSpaceDE w:val="0"/>
              <w:autoSpaceDN w:val="0"/>
              <w:adjustRightInd w:val="0"/>
              <w:spacing w:before="60"/>
              <w:ind w:left="0"/>
              <w:jc w:val="center"/>
              <w:cnfStyle w:val="100000000000" w:firstRow="1" w:lastRow="0" w:firstColumn="0" w:lastColumn="0" w:oddVBand="0" w:evenVBand="0" w:oddHBand="0" w:evenHBand="0" w:firstRowFirstColumn="0" w:firstRowLastColumn="0" w:lastRowFirstColumn="0" w:lastRowLastColumn="0"/>
              <w:rPr>
                <w:rFonts w:eastAsia="Calibri"/>
                <w:sz w:val="24"/>
                <w:szCs w:val="18"/>
              </w:rPr>
            </w:pPr>
            <w:r>
              <w:rPr>
                <w:color w:val="211D1E"/>
                <w:sz w:val="24"/>
              </w:rPr>
              <w:t xml:space="preserve">Project B </w:t>
            </w:r>
            <w:r w:rsidRPr="000C2E4F">
              <w:rPr>
                <w:color w:val="211D1E"/>
                <w:sz w:val="24"/>
              </w:rPr>
              <w:t>(</w:t>
            </w:r>
            <w:r>
              <w:rPr>
                <w:color w:val="211D1E"/>
                <w:sz w:val="24"/>
              </w:rPr>
              <w:t>$</w:t>
            </w:r>
            <w:r w:rsidRPr="000C2E4F">
              <w:rPr>
                <w:color w:val="211D1E"/>
                <w:sz w:val="24"/>
              </w:rPr>
              <w:t>)</w:t>
            </w:r>
          </w:p>
        </w:tc>
      </w:tr>
      <w:tr w:rsidR="00513207" w14:paraId="0BC177FE" w14:textId="77777777" w:rsidTr="00513207">
        <w:trPr>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666666" w:themeColor="text1" w:themeTint="99"/>
              <w:left w:val="nil"/>
              <w:bottom w:val="nil"/>
              <w:right w:val="nil"/>
            </w:tcBorders>
            <w:vAlign w:val="center"/>
          </w:tcPr>
          <w:p w14:paraId="51250664" w14:textId="5110EDA9" w:rsidR="00513207" w:rsidRDefault="00513207" w:rsidP="00513207">
            <w:pPr>
              <w:pStyle w:val="ListParagraph"/>
              <w:widowControl w:val="0"/>
              <w:autoSpaceDE w:val="0"/>
              <w:autoSpaceDN w:val="0"/>
              <w:adjustRightInd w:val="0"/>
              <w:spacing w:before="60"/>
              <w:ind w:left="0"/>
              <w:rPr>
                <w:rFonts w:eastAsia="Calibri"/>
                <w:sz w:val="24"/>
                <w:szCs w:val="18"/>
              </w:rPr>
            </w:pPr>
            <w:r w:rsidRPr="000C2E4F">
              <w:rPr>
                <w:color w:val="211D1E"/>
                <w:sz w:val="24"/>
              </w:rPr>
              <w:t>0</w:t>
            </w:r>
          </w:p>
        </w:tc>
        <w:tc>
          <w:tcPr>
            <w:tcW w:w="3005" w:type="dxa"/>
            <w:tcBorders>
              <w:top w:val="single" w:sz="12" w:space="0" w:color="666666" w:themeColor="text1" w:themeTint="99"/>
              <w:left w:val="nil"/>
              <w:bottom w:val="nil"/>
              <w:right w:val="nil"/>
            </w:tcBorders>
            <w:vAlign w:val="center"/>
          </w:tcPr>
          <w:p w14:paraId="14731302" w14:textId="02018BBB" w:rsidR="00513207" w:rsidRDefault="00513207" w:rsidP="005132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396056">
              <w:t>-65,000</w:t>
            </w:r>
          </w:p>
        </w:tc>
        <w:tc>
          <w:tcPr>
            <w:tcW w:w="3006" w:type="dxa"/>
            <w:tcBorders>
              <w:top w:val="single" w:sz="12" w:space="0" w:color="666666" w:themeColor="text1" w:themeTint="99"/>
              <w:left w:val="nil"/>
              <w:bottom w:val="nil"/>
              <w:right w:val="nil"/>
            </w:tcBorders>
            <w:vAlign w:val="center"/>
          </w:tcPr>
          <w:p w14:paraId="1DACDDB0" w14:textId="72214F92" w:rsidR="00513207" w:rsidRDefault="00513207" w:rsidP="005132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396056">
              <w:t>-65,000</w:t>
            </w:r>
          </w:p>
        </w:tc>
      </w:tr>
      <w:tr w:rsidR="00513207" w14:paraId="3ED4FF07" w14:textId="77777777" w:rsidTr="00513207">
        <w:trPr>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left w:val="nil"/>
              <w:bottom w:val="nil"/>
              <w:right w:val="nil"/>
            </w:tcBorders>
            <w:vAlign w:val="center"/>
          </w:tcPr>
          <w:p w14:paraId="1824F097" w14:textId="117A40C4" w:rsidR="00513207" w:rsidRDefault="00513207" w:rsidP="00513207">
            <w:pPr>
              <w:pStyle w:val="ListParagraph"/>
              <w:widowControl w:val="0"/>
              <w:autoSpaceDE w:val="0"/>
              <w:autoSpaceDN w:val="0"/>
              <w:adjustRightInd w:val="0"/>
              <w:spacing w:before="60"/>
              <w:ind w:left="0"/>
              <w:rPr>
                <w:rFonts w:eastAsia="Calibri"/>
                <w:sz w:val="24"/>
                <w:szCs w:val="18"/>
              </w:rPr>
            </w:pPr>
            <w:r w:rsidRPr="000C2E4F">
              <w:rPr>
                <w:color w:val="211D1E"/>
                <w:sz w:val="24"/>
              </w:rPr>
              <w:t>1</w:t>
            </w:r>
          </w:p>
        </w:tc>
        <w:tc>
          <w:tcPr>
            <w:tcW w:w="3005" w:type="dxa"/>
            <w:tcBorders>
              <w:top w:val="nil"/>
              <w:left w:val="nil"/>
              <w:bottom w:val="nil"/>
              <w:right w:val="nil"/>
            </w:tcBorders>
            <w:vAlign w:val="center"/>
          </w:tcPr>
          <w:p w14:paraId="5C2E95DD" w14:textId="4945B8D3" w:rsidR="00513207" w:rsidRDefault="00513207" w:rsidP="005132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396056">
              <w:t>25,000</w:t>
            </w:r>
          </w:p>
        </w:tc>
        <w:tc>
          <w:tcPr>
            <w:tcW w:w="3006" w:type="dxa"/>
            <w:tcBorders>
              <w:top w:val="nil"/>
              <w:left w:val="nil"/>
              <w:bottom w:val="nil"/>
              <w:right w:val="nil"/>
            </w:tcBorders>
            <w:vAlign w:val="center"/>
          </w:tcPr>
          <w:p w14:paraId="0238244B" w14:textId="5BE6835F" w:rsidR="00513207" w:rsidRDefault="00513207" w:rsidP="005132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396056">
              <w:t>17,000</w:t>
            </w:r>
          </w:p>
        </w:tc>
      </w:tr>
      <w:tr w:rsidR="00513207" w14:paraId="3374A520" w14:textId="77777777" w:rsidTr="00513207">
        <w:trPr>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left w:val="nil"/>
              <w:bottom w:val="nil"/>
              <w:right w:val="nil"/>
            </w:tcBorders>
            <w:vAlign w:val="center"/>
          </w:tcPr>
          <w:p w14:paraId="0C4888B7" w14:textId="1A1366EA" w:rsidR="00513207" w:rsidRDefault="00513207" w:rsidP="00513207">
            <w:pPr>
              <w:pStyle w:val="ListParagraph"/>
              <w:widowControl w:val="0"/>
              <w:autoSpaceDE w:val="0"/>
              <w:autoSpaceDN w:val="0"/>
              <w:adjustRightInd w:val="0"/>
              <w:spacing w:before="60"/>
              <w:ind w:left="0"/>
              <w:rPr>
                <w:rFonts w:eastAsia="Calibri"/>
                <w:sz w:val="24"/>
                <w:szCs w:val="18"/>
              </w:rPr>
            </w:pPr>
            <w:r w:rsidRPr="000C2E4F">
              <w:rPr>
                <w:color w:val="211D1E"/>
                <w:sz w:val="24"/>
              </w:rPr>
              <w:t>2</w:t>
            </w:r>
          </w:p>
        </w:tc>
        <w:tc>
          <w:tcPr>
            <w:tcW w:w="3005" w:type="dxa"/>
            <w:tcBorders>
              <w:top w:val="nil"/>
              <w:left w:val="nil"/>
              <w:bottom w:val="nil"/>
              <w:right w:val="nil"/>
            </w:tcBorders>
            <w:vAlign w:val="center"/>
          </w:tcPr>
          <w:p w14:paraId="55B17E70" w14:textId="0DDA9C82" w:rsidR="00513207" w:rsidRDefault="00513207" w:rsidP="005132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396056">
              <w:t>26,900</w:t>
            </w:r>
          </w:p>
        </w:tc>
        <w:tc>
          <w:tcPr>
            <w:tcW w:w="3006" w:type="dxa"/>
            <w:tcBorders>
              <w:top w:val="nil"/>
              <w:left w:val="nil"/>
              <w:bottom w:val="nil"/>
              <w:right w:val="nil"/>
            </w:tcBorders>
            <w:vAlign w:val="center"/>
          </w:tcPr>
          <w:p w14:paraId="154C841A" w14:textId="66493F63" w:rsidR="00513207" w:rsidRDefault="00513207" w:rsidP="005132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396056">
              <w:t>16,800</w:t>
            </w:r>
          </w:p>
        </w:tc>
      </w:tr>
      <w:tr w:rsidR="00513207" w14:paraId="179E0B8F" w14:textId="77777777" w:rsidTr="00513207">
        <w:trPr>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left w:val="nil"/>
              <w:bottom w:val="nil"/>
              <w:right w:val="nil"/>
            </w:tcBorders>
            <w:vAlign w:val="center"/>
          </w:tcPr>
          <w:p w14:paraId="1CEF81A3" w14:textId="755FCBF6" w:rsidR="00513207" w:rsidRDefault="00513207" w:rsidP="00513207">
            <w:pPr>
              <w:pStyle w:val="ListParagraph"/>
              <w:widowControl w:val="0"/>
              <w:autoSpaceDE w:val="0"/>
              <w:autoSpaceDN w:val="0"/>
              <w:adjustRightInd w:val="0"/>
              <w:spacing w:before="60"/>
              <w:ind w:left="0"/>
              <w:rPr>
                <w:rFonts w:eastAsia="Calibri"/>
                <w:sz w:val="24"/>
                <w:szCs w:val="18"/>
              </w:rPr>
            </w:pPr>
            <w:r w:rsidRPr="000C2E4F">
              <w:rPr>
                <w:color w:val="211D1E"/>
                <w:sz w:val="24"/>
              </w:rPr>
              <w:t>3</w:t>
            </w:r>
          </w:p>
        </w:tc>
        <w:tc>
          <w:tcPr>
            <w:tcW w:w="3005" w:type="dxa"/>
            <w:tcBorders>
              <w:top w:val="nil"/>
              <w:left w:val="nil"/>
              <w:bottom w:val="nil"/>
              <w:right w:val="nil"/>
            </w:tcBorders>
            <w:vAlign w:val="center"/>
          </w:tcPr>
          <w:p w14:paraId="2B4D08DB" w14:textId="79867D76" w:rsidR="00513207" w:rsidRDefault="00513207" w:rsidP="005132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396056">
              <w:t>16,600</w:t>
            </w:r>
          </w:p>
        </w:tc>
        <w:tc>
          <w:tcPr>
            <w:tcW w:w="3006" w:type="dxa"/>
            <w:tcBorders>
              <w:top w:val="nil"/>
              <w:left w:val="nil"/>
              <w:bottom w:val="nil"/>
              <w:right w:val="nil"/>
            </w:tcBorders>
            <w:vAlign w:val="center"/>
          </w:tcPr>
          <w:p w14:paraId="45598DB4" w14:textId="7CB3E967" w:rsidR="00513207" w:rsidRDefault="00513207" w:rsidP="005132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396056">
              <w:t>29,000</w:t>
            </w:r>
          </w:p>
        </w:tc>
      </w:tr>
      <w:tr w:rsidR="00513207" w14:paraId="7080759E" w14:textId="77777777" w:rsidTr="00513207">
        <w:trPr>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left w:val="nil"/>
              <w:bottom w:val="single" w:sz="6" w:space="0" w:color="auto"/>
              <w:right w:val="nil"/>
            </w:tcBorders>
            <w:vAlign w:val="center"/>
          </w:tcPr>
          <w:p w14:paraId="252E2645" w14:textId="77209BF8" w:rsidR="00513207" w:rsidRDefault="00513207" w:rsidP="00513207">
            <w:pPr>
              <w:pStyle w:val="ListParagraph"/>
              <w:widowControl w:val="0"/>
              <w:autoSpaceDE w:val="0"/>
              <w:autoSpaceDN w:val="0"/>
              <w:adjustRightInd w:val="0"/>
              <w:spacing w:before="60"/>
              <w:ind w:left="0"/>
              <w:rPr>
                <w:rFonts w:eastAsia="Calibri"/>
                <w:sz w:val="24"/>
                <w:szCs w:val="18"/>
              </w:rPr>
            </w:pPr>
            <w:r w:rsidRPr="000C2E4F">
              <w:rPr>
                <w:color w:val="211D1E"/>
                <w:sz w:val="24"/>
              </w:rPr>
              <w:t>4</w:t>
            </w:r>
          </w:p>
        </w:tc>
        <w:tc>
          <w:tcPr>
            <w:tcW w:w="3005" w:type="dxa"/>
            <w:tcBorders>
              <w:top w:val="nil"/>
              <w:left w:val="nil"/>
              <w:bottom w:val="single" w:sz="6" w:space="0" w:color="auto"/>
              <w:right w:val="nil"/>
            </w:tcBorders>
            <w:vAlign w:val="center"/>
          </w:tcPr>
          <w:p w14:paraId="767EFD2E" w14:textId="3D45EB72" w:rsidR="00513207" w:rsidRDefault="00513207" w:rsidP="005132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396056">
              <w:t>14,400</w:t>
            </w:r>
          </w:p>
        </w:tc>
        <w:tc>
          <w:tcPr>
            <w:tcW w:w="3006" w:type="dxa"/>
            <w:tcBorders>
              <w:top w:val="nil"/>
              <w:left w:val="nil"/>
              <w:bottom w:val="single" w:sz="6" w:space="0" w:color="auto"/>
              <w:right w:val="nil"/>
            </w:tcBorders>
            <w:vAlign w:val="center"/>
          </w:tcPr>
          <w:p w14:paraId="00C3BEEF" w14:textId="77367560" w:rsidR="00513207" w:rsidRDefault="00513207" w:rsidP="005132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396056">
              <w:t>24,700</w:t>
            </w:r>
          </w:p>
        </w:tc>
      </w:tr>
    </w:tbl>
    <w:bookmarkEnd w:id="1"/>
    <w:p w14:paraId="1AD0F57D" w14:textId="00214757" w:rsidR="000920E5" w:rsidRDefault="00513207" w:rsidP="00012CDC">
      <w:pPr>
        <w:pStyle w:val="ListParagraph"/>
        <w:widowControl w:val="0"/>
        <w:autoSpaceDE w:val="0"/>
        <w:autoSpaceDN w:val="0"/>
        <w:adjustRightInd w:val="0"/>
        <w:spacing w:before="60"/>
        <w:ind w:left="284"/>
        <w:jc w:val="both"/>
        <w:rPr>
          <w:rFonts w:eastAsia="Calibri"/>
          <w:sz w:val="24"/>
          <w:szCs w:val="18"/>
        </w:rPr>
      </w:pPr>
      <w:r>
        <w:rPr>
          <w:rFonts w:eastAsia="Calibri"/>
          <w:sz w:val="24"/>
          <w:szCs w:val="18"/>
        </w:rPr>
        <w:t>If the required rate of return is 11%, which</w:t>
      </w:r>
      <w:r w:rsidRPr="00513207">
        <w:rPr>
          <w:rFonts w:eastAsia="Calibri"/>
          <w:sz w:val="24"/>
          <w:szCs w:val="18"/>
        </w:rPr>
        <w:t xml:space="preserve"> project will the company choose if it applies the NPV decision rule</w:t>
      </w:r>
      <w:r>
        <w:rPr>
          <w:rFonts w:eastAsia="Calibri"/>
          <w:sz w:val="24"/>
          <w:szCs w:val="18"/>
        </w:rPr>
        <w:t>?</w:t>
      </w:r>
    </w:p>
    <w:p w14:paraId="17BA8E61" w14:textId="56884CE8" w:rsidR="00F004D8" w:rsidRDefault="00F004D8" w:rsidP="00012CDC">
      <w:pPr>
        <w:pStyle w:val="ListParagraph"/>
        <w:widowControl w:val="0"/>
        <w:autoSpaceDE w:val="0"/>
        <w:autoSpaceDN w:val="0"/>
        <w:adjustRightInd w:val="0"/>
        <w:spacing w:before="60"/>
        <w:ind w:left="284"/>
        <w:jc w:val="both"/>
        <w:rPr>
          <w:rFonts w:eastAsia="Calibri"/>
          <w:b/>
          <w:color w:val="4472C4" w:themeColor="accent1"/>
          <w:sz w:val="24"/>
          <w:szCs w:val="18"/>
        </w:rPr>
      </w:pPr>
      <w:r>
        <w:rPr>
          <w:rFonts w:eastAsia="Calibri"/>
          <w:b/>
          <w:color w:val="4472C4" w:themeColor="accent1"/>
          <w:sz w:val="24"/>
          <w:szCs w:val="18"/>
        </w:rPr>
        <w:t>Formula:</w:t>
      </w:r>
    </w:p>
    <w:p w14:paraId="45FB49EE" w14:textId="727A6DE4" w:rsidR="00F004D8" w:rsidRPr="00F004D8" w:rsidRDefault="00F004D8" w:rsidP="00012CDC">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NPV=</m:t>
          </m:r>
          <m:nary>
            <m:naryPr>
              <m:chr m:val="∑"/>
              <m:limLoc m:val="undOvr"/>
              <m:ctrlPr>
                <w:rPr>
                  <w:rFonts w:ascii="Cambria Math" w:eastAsia="Calibri" w:hAnsi="Cambria Math"/>
                  <w:i/>
                  <w:color w:val="4472C4" w:themeColor="accent1"/>
                  <w:sz w:val="24"/>
                  <w:szCs w:val="18"/>
                </w:rPr>
              </m:ctrlPr>
            </m:naryPr>
            <m:sub>
              <m:r>
                <w:rPr>
                  <w:rFonts w:ascii="Cambria Math" w:eastAsia="Calibri" w:hAnsi="Cambria Math"/>
                  <w:color w:val="4472C4" w:themeColor="accent1"/>
                  <w:sz w:val="24"/>
                  <w:szCs w:val="18"/>
                </w:rPr>
                <m:t>i=1</m:t>
              </m:r>
            </m:sub>
            <m:sup>
              <m:r>
                <w:rPr>
                  <w:rFonts w:ascii="Cambria Math" w:eastAsia="Calibri" w:hAnsi="Cambria Math"/>
                  <w:color w:val="4472C4" w:themeColor="accent1"/>
                  <w:sz w:val="24"/>
                  <w:szCs w:val="18"/>
                </w:rPr>
                <m:t>t</m:t>
              </m:r>
            </m:sup>
            <m:e>
              <m:r>
                <w:rPr>
                  <w:rFonts w:ascii="Cambria Math" w:eastAsia="Calibri" w:hAnsi="Cambria Math"/>
                  <w:color w:val="4472C4" w:themeColor="accent1"/>
                  <w:sz w:val="24"/>
                  <w:szCs w:val="18"/>
                </w:rPr>
                <m:t>C</m:t>
              </m:r>
              <m:sSub>
                <m:sSubPr>
                  <m:ctrlPr>
                    <w:rPr>
                      <w:rFonts w:ascii="Cambria Math" w:eastAsia="Calibri" w:hAnsi="Cambria Math"/>
                      <w:i/>
                      <w:color w:val="4472C4" w:themeColor="accent1"/>
                      <w:sz w:val="24"/>
                      <w:szCs w:val="18"/>
                    </w:rPr>
                  </m:ctrlPr>
                </m:sSubPr>
                <m:e>
                  <m:r>
                    <w:rPr>
                      <w:rFonts w:ascii="Cambria Math" w:eastAsia="Calibri" w:hAnsi="Cambria Math"/>
                      <w:color w:val="4472C4" w:themeColor="accent1"/>
                      <w:sz w:val="24"/>
                      <w:szCs w:val="18"/>
                    </w:rPr>
                    <m:t>F</m:t>
                  </m:r>
                </m:e>
                <m:sub>
                  <m:r>
                    <w:rPr>
                      <w:rFonts w:ascii="Cambria Math" w:eastAsia="Calibri" w:hAnsi="Cambria Math"/>
                      <w:color w:val="4472C4" w:themeColor="accent1"/>
                      <w:sz w:val="24"/>
                      <w:szCs w:val="18"/>
                    </w:rPr>
                    <m:t>i</m:t>
                  </m:r>
                </m:sub>
              </m:sSub>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1+r</m:t>
                      </m:r>
                    </m:e>
                  </m:d>
                </m:e>
                <m:sup>
                  <m:r>
                    <w:rPr>
                      <w:rFonts w:ascii="Cambria Math" w:eastAsia="Calibri" w:hAnsi="Cambria Math"/>
                      <w:color w:val="4472C4" w:themeColor="accent1"/>
                      <w:sz w:val="24"/>
                      <w:szCs w:val="18"/>
                    </w:rPr>
                    <m:t>-i</m:t>
                  </m:r>
                </m:sup>
              </m:sSup>
            </m:e>
          </m:nary>
          <m:r>
            <w:rPr>
              <w:rFonts w:ascii="Cambria Math" w:eastAsia="Calibri" w:hAnsi="Cambria Math"/>
              <w:color w:val="4472C4" w:themeColor="accent1"/>
              <w:sz w:val="24"/>
              <w:szCs w:val="18"/>
            </w:rPr>
            <m:t>-</m:t>
          </m:r>
          <m:sSub>
            <m:sSubPr>
              <m:ctrlPr>
                <w:rPr>
                  <w:rFonts w:ascii="Cambria Math" w:eastAsia="Calibri" w:hAnsi="Cambria Math"/>
                  <w:i/>
                  <w:color w:val="4472C4" w:themeColor="accent1"/>
                  <w:sz w:val="24"/>
                  <w:szCs w:val="18"/>
                </w:rPr>
              </m:ctrlPr>
            </m:sSubPr>
            <m:e>
              <m:r>
                <w:rPr>
                  <w:rFonts w:ascii="Cambria Math" w:eastAsia="Calibri" w:hAnsi="Cambria Math"/>
                  <w:color w:val="4472C4" w:themeColor="accent1"/>
                  <w:sz w:val="24"/>
                  <w:szCs w:val="18"/>
                </w:rPr>
                <m:t>I</m:t>
              </m:r>
            </m:e>
            <m:sub>
              <m:r>
                <w:rPr>
                  <w:rFonts w:ascii="Cambria Math" w:eastAsia="Calibri" w:hAnsi="Cambria Math"/>
                  <w:color w:val="4472C4" w:themeColor="accent1"/>
                  <w:sz w:val="24"/>
                  <w:szCs w:val="18"/>
                </w:rPr>
                <m:t>0</m:t>
              </m:r>
            </m:sub>
          </m:sSub>
        </m:oMath>
      </m:oMathPara>
    </w:p>
    <w:p w14:paraId="3806C3AC" w14:textId="77777777" w:rsidR="00B671CD" w:rsidRDefault="00F004D8" w:rsidP="00012CDC">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 xml:space="preserve">The Net Present Value (NPV) is the present value of future cash flows generated by the project minus the initial investment. It </w:t>
      </w:r>
      <w:r w:rsidR="00B671CD">
        <w:rPr>
          <w:rFonts w:eastAsia="Calibri"/>
          <w:color w:val="4472C4" w:themeColor="accent1"/>
          <w:sz w:val="24"/>
          <w:szCs w:val="18"/>
        </w:rPr>
        <w:t>is a measure of profitability. A positive NPV means that the project generates more cash inflows than outflows.</w:t>
      </w:r>
    </w:p>
    <w:p w14:paraId="2ACE8C58" w14:textId="77777777" w:rsidR="00B671CD" w:rsidRDefault="00B671CD" w:rsidP="00012CDC">
      <w:pPr>
        <w:pStyle w:val="ListParagraph"/>
        <w:widowControl w:val="0"/>
        <w:autoSpaceDE w:val="0"/>
        <w:autoSpaceDN w:val="0"/>
        <w:adjustRightInd w:val="0"/>
        <w:spacing w:before="60"/>
        <w:ind w:left="284"/>
        <w:jc w:val="both"/>
        <w:rPr>
          <w:rFonts w:eastAsia="Calibri"/>
          <w:color w:val="4472C4" w:themeColor="accent1"/>
          <w:sz w:val="24"/>
          <w:szCs w:val="18"/>
        </w:rPr>
      </w:pPr>
    </w:p>
    <w:p w14:paraId="5214673E" w14:textId="77777777" w:rsidR="00B671CD" w:rsidRDefault="00B671CD" w:rsidP="00012CDC">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Starting with Project A:</w:t>
      </w:r>
    </w:p>
    <w:p w14:paraId="3F7AA3B1" w14:textId="6009F17E" w:rsidR="00B671CD" w:rsidRPr="00B671CD" w:rsidRDefault="00B671CD" w:rsidP="00B671CD">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NP</m:t>
          </m:r>
          <m:sSub>
            <m:sSubPr>
              <m:ctrlPr>
                <w:rPr>
                  <w:rFonts w:ascii="Cambria Math" w:eastAsia="Calibri" w:hAnsi="Cambria Math"/>
                  <w:i/>
                  <w:color w:val="4472C4" w:themeColor="accent1"/>
                  <w:sz w:val="24"/>
                  <w:szCs w:val="18"/>
                </w:rPr>
              </m:ctrlPr>
            </m:sSubPr>
            <m:e>
              <m:r>
                <w:rPr>
                  <w:rFonts w:ascii="Cambria Math" w:eastAsia="Calibri" w:hAnsi="Cambria Math"/>
                  <w:color w:val="4472C4" w:themeColor="accent1"/>
                  <w:sz w:val="24"/>
                  <w:szCs w:val="18"/>
                </w:rPr>
                <m:t>V</m:t>
              </m:r>
            </m:e>
            <m:sub>
              <m:r>
                <w:rPr>
                  <w:rFonts w:ascii="Cambria Math" w:eastAsia="Calibri" w:hAnsi="Cambria Math"/>
                  <w:color w:val="4472C4" w:themeColor="accent1"/>
                  <w:sz w:val="24"/>
                  <w:szCs w:val="18"/>
                </w:rPr>
                <m:t>A</m:t>
              </m:r>
            </m:sub>
          </m:sSub>
          <m:r>
            <w:rPr>
              <w:rFonts w:ascii="Cambria Math" w:eastAsia="Calibri" w:hAnsi="Cambria Math"/>
              <w:color w:val="4472C4" w:themeColor="accent1"/>
              <w:sz w:val="24"/>
              <w:szCs w:val="18"/>
            </w:rPr>
            <m:t>=-65,000+25,000×</m:t>
          </m:r>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1+11%</m:t>
                  </m:r>
                </m:e>
              </m:d>
            </m:e>
            <m:sup>
              <m:r>
                <w:rPr>
                  <w:rFonts w:ascii="Cambria Math" w:eastAsia="Calibri" w:hAnsi="Cambria Math"/>
                  <w:color w:val="4472C4" w:themeColor="accent1"/>
                  <w:sz w:val="24"/>
                  <w:szCs w:val="18"/>
                </w:rPr>
                <m:t>-1</m:t>
              </m:r>
            </m:sup>
          </m:sSup>
          <m:r>
            <w:rPr>
              <w:rFonts w:ascii="Cambria Math" w:eastAsia="Calibri" w:hAnsi="Cambria Math"/>
              <w:color w:val="4472C4" w:themeColor="accent1"/>
              <w:sz w:val="24"/>
              <w:szCs w:val="18"/>
            </w:rPr>
            <m:t>+26,900×</m:t>
          </m:r>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1+11%</m:t>
                  </m:r>
                </m:e>
              </m:d>
            </m:e>
            <m:sup>
              <m:r>
                <w:rPr>
                  <w:rFonts w:ascii="Cambria Math" w:eastAsia="Calibri" w:hAnsi="Cambria Math"/>
                  <w:color w:val="4472C4" w:themeColor="accent1"/>
                  <w:sz w:val="24"/>
                  <w:szCs w:val="18"/>
                </w:rPr>
                <m:t>-2</m:t>
              </m:r>
            </m:sup>
          </m:sSup>
        </m:oMath>
      </m:oMathPara>
    </w:p>
    <w:p w14:paraId="5462350C" w14:textId="352A86F0" w:rsidR="00012CDC" w:rsidRDefault="00B671CD" w:rsidP="00B671CD">
      <w:pPr>
        <w:pStyle w:val="ListParagraph"/>
        <w:widowControl w:val="0"/>
        <w:autoSpaceDE w:val="0"/>
        <w:autoSpaceDN w:val="0"/>
        <w:adjustRightInd w:val="0"/>
        <w:spacing w:before="60"/>
        <w:ind w:left="851"/>
        <w:jc w:val="both"/>
        <w:rPr>
          <w:rFonts w:eastAsia="Calibri"/>
          <w:color w:val="4472C4" w:themeColor="accent1"/>
          <w:sz w:val="24"/>
          <w:szCs w:val="18"/>
        </w:rPr>
      </w:pPr>
      <m:oMath>
        <m:r>
          <w:rPr>
            <w:rFonts w:ascii="Cambria Math" w:eastAsia="Calibri" w:hAnsi="Cambria Math"/>
            <w:color w:val="4472C4" w:themeColor="accent1"/>
            <w:sz w:val="24"/>
            <w:szCs w:val="18"/>
          </w:rPr>
          <m:t>+16,600×</m:t>
        </m:r>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1+11%</m:t>
                </m:r>
              </m:e>
            </m:d>
          </m:e>
          <m:sup>
            <m:r>
              <w:rPr>
                <w:rFonts w:ascii="Cambria Math" w:eastAsia="Calibri" w:hAnsi="Cambria Math"/>
                <w:color w:val="4472C4" w:themeColor="accent1"/>
                <w:sz w:val="24"/>
                <w:szCs w:val="18"/>
              </w:rPr>
              <m:t>-3</m:t>
            </m:r>
          </m:sup>
        </m:sSup>
        <m:r>
          <w:rPr>
            <w:rFonts w:ascii="Cambria Math" w:eastAsia="Calibri" w:hAnsi="Cambria Math"/>
            <w:color w:val="4472C4" w:themeColor="accent1"/>
            <w:sz w:val="24"/>
            <w:szCs w:val="18"/>
          </w:rPr>
          <m:t>+14,400×</m:t>
        </m:r>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1+11%</m:t>
                </m:r>
              </m:e>
            </m:d>
          </m:e>
          <m:sup>
            <m:r>
              <w:rPr>
                <w:rFonts w:ascii="Cambria Math" w:eastAsia="Calibri" w:hAnsi="Cambria Math"/>
                <w:color w:val="4472C4" w:themeColor="accent1"/>
                <w:sz w:val="24"/>
                <w:szCs w:val="18"/>
              </w:rPr>
              <m:t>-4</m:t>
            </m:r>
          </m:sup>
        </m:sSup>
        <m:r>
          <w:rPr>
            <w:rFonts w:ascii="Cambria Math" w:eastAsia="Calibri" w:hAnsi="Cambria Math"/>
            <w:color w:val="4472C4" w:themeColor="accent1"/>
            <w:sz w:val="24"/>
            <w:szCs w:val="18"/>
          </w:rPr>
          <m:t>=$978.67</m:t>
        </m:r>
      </m:oMath>
      <w:r>
        <w:rPr>
          <w:rFonts w:eastAsia="Calibri"/>
          <w:color w:val="4472C4" w:themeColor="accent1"/>
          <w:sz w:val="24"/>
          <w:szCs w:val="18"/>
        </w:rPr>
        <w:t xml:space="preserve"> </w:t>
      </w:r>
    </w:p>
    <w:p w14:paraId="0E8370F2" w14:textId="7CDA54F5" w:rsidR="00B671CD" w:rsidRPr="004C0E0B" w:rsidRDefault="00B671CD" w:rsidP="004C0E0B">
      <w:pPr>
        <w:widowControl w:val="0"/>
        <w:autoSpaceDE w:val="0"/>
        <w:autoSpaceDN w:val="0"/>
        <w:adjustRightInd w:val="0"/>
        <w:spacing w:before="60"/>
        <w:ind w:left="360"/>
        <w:jc w:val="both"/>
        <w:rPr>
          <w:rFonts w:eastAsia="Calibri"/>
          <w:color w:val="4472C4" w:themeColor="accent1"/>
          <w:sz w:val="24"/>
          <w:szCs w:val="18"/>
        </w:rPr>
      </w:pPr>
      <w:r w:rsidRPr="004C0E0B">
        <w:rPr>
          <w:rFonts w:eastAsia="Calibri"/>
          <w:color w:val="4472C4" w:themeColor="accent1"/>
          <w:sz w:val="24"/>
          <w:szCs w:val="18"/>
        </w:rPr>
        <w:t xml:space="preserve">This project has a </w:t>
      </w:r>
      <w:proofErr w:type="gramStart"/>
      <w:r w:rsidRPr="004C0E0B">
        <w:rPr>
          <w:rFonts w:eastAsia="Calibri"/>
          <w:color w:val="4472C4" w:themeColor="accent1"/>
          <w:sz w:val="24"/>
          <w:szCs w:val="18"/>
        </w:rPr>
        <w:t>positive cash flows</w:t>
      </w:r>
      <w:proofErr w:type="gramEnd"/>
      <w:r w:rsidRPr="004C0E0B">
        <w:rPr>
          <w:rFonts w:eastAsia="Calibri"/>
          <w:color w:val="4472C4" w:themeColor="accent1"/>
          <w:sz w:val="24"/>
          <w:szCs w:val="18"/>
        </w:rPr>
        <w:t>, so it is a profitable project.</w:t>
      </w:r>
    </w:p>
    <w:p w14:paraId="16B0DFAE" w14:textId="77777777" w:rsidR="00B671CD" w:rsidRDefault="00B671CD" w:rsidP="004C0E0B">
      <w:pPr>
        <w:pStyle w:val="ListParagraph"/>
        <w:widowControl w:val="0"/>
        <w:autoSpaceDE w:val="0"/>
        <w:autoSpaceDN w:val="0"/>
        <w:adjustRightInd w:val="0"/>
        <w:spacing w:before="60"/>
        <w:ind w:left="568"/>
        <w:jc w:val="both"/>
        <w:rPr>
          <w:rFonts w:eastAsia="Calibri"/>
          <w:color w:val="4472C4" w:themeColor="accent1"/>
          <w:sz w:val="24"/>
          <w:szCs w:val="18"/>
        </w:rPr>
      </w:pPr>
    </w:p>
    <w:p w14:paraId="6FCB69AA" w14:textId="667E7701" w:rsidR="00B671CD" w:rsidRPr="004C0E0B" w:rsidRDefault="00B671CD" w:rsidP="004C0E0B">
      <w:pPr>
        <w:widowControl w:val="0"/>
        <w:autoSpaceDE w:val="0"/>
        <w:autoSpaceDN w:val="0"/>
        <w:adjustRightInd w:val="0"/>
        <w:spacing w:before="60"/>
        <w:ind w:left="360"/>
        <w:jc w:val="both"/>
        <w:rPr>
          <w:rFonts w:eastAsia="Calibri"/>
          <w:color w:val="4472C4" w:themeColor="accent1"/>
          <w:sz w:val="24"/>
          <w:szCs w:val="18"/>
        </w:rPr>
      </w:pPr>
      <w:r w:rsidRPr="004C0E0B">
        <w:rPr>
          <w:rFonts w:eastAsia="Calibri"/>
          <w:color w:val="4472C4" w:themeColor="accent1"/>
          <w:sz w:val="24"/>
          <w:szCs w:val="18"/>
        </w:rPr>
        <w:t>Project B:</w:t>
      </w:r>
    </w:p>
    <w:p w14:paraId="69A198F7" w14:textId="5AC0B204" w:rsidR="00B671CD" w:rsidRPr="004C0E0B" w:rsidRDefault="00B671CD" w:rsidP="004C0E0B">
      <w:pPr>
        <w:widowControl w:val="0"/>
        <w:autoSpaceDE w:val="0"/>
        <w:autoSpaceDN w:val="0"/>
        <w:adjustRightInd w:val="0"/>
        <w:spacing w:before="60"/>
        <w:ind w:left="360"/>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NP</m:t>
          </m:r>
          <m:sSub>
            <m:sSubPr>
              <m:ctrlPr>
                <w:rPr>
                  <w:rFonts w:ascii="Cambria Math" w:eastAsia="Calibri" w:hAnsi="Cambria Math"/>
                  <w:i/>
                  <w:color w:val="4472C4" w:themeColor="accent1"/>
                  <w:sz w:val="24"/>
                  <w:szCs w:val="18"/>
                </w:rPr>
              </m:ctrlPr>
            </m:sSubPr>
            <m:e>
              <m:r>
                <w:rPr>
                  <w:rFonts w:ascii="Cambria Math" w:eastAsia="Calibri" w:hAnsi="Cambria Math"/>
                  <w:color w:val="4472C4" w:themeColor="accent1"/>
                  <w:sz w:val="24"/>
                  <w:szCs w:val="18"/>
                </w:rPr>
                <m:t>V</m:t>
              </m:r>
            </m:e>
            <m:sub>
              <m:r>
                <w:rPr>
                  <w:rFonts w:ascii="Cambria Math" w:eastAsia="Calibri" w:hAnsi="Cambria Math"/>
                  <w:color w:val="4472C4" w:themeColor="accent1"/>
                  <w:sz w:val="24"/>
                  <w:szCs w:val="18"/>
                </w:rPr>
                <m:t>B</m:t>
              </m:r>
            </m:sub>
          </m:sSub>
          <m:r>
            <w:rPr>
              <w:rFonts w:ascii="Cambria Math" w:eastAsia="Calibri" w:hAnsi="Cambria Math"/>
              <w:color w:val="4472C4" w:themeColor="accent1"/>
              <w:sz w:val="24"/>
              <w:szCs w:val="18"/>
            </w:rPr>
            <m:t>=-65,000+17,000×</m:t>
          </m:r>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1+11%</m:t>
                  </m:r>
                </m:e>
              </m:d>
            </m:e>
            <m:sup>
              <m:r>
                <w:rPr>
                  <w:rFonts w:ascii="Cambria Math" w:eastAsia="Calibri" w:hAnsi="Cambria Math"/>
                  <w:color w:val="4472C4" w:themeColor="accent1"/>
                  <w:sz w:val="24"/>
                  <w:szCs w:val="18"/>
                </w:rPr>
                <m:t>-1</m:t>
              </m:r>
            </m:sup>
          </m:sSup>
          <m:r>
            <w:rPr>
              <w:rFonts w:ascii="Cambria Math" w:eastAsia="Calibri" w:hAnsi="Cambria Math"/>
              <w:color w:val="4472C4" w:themeColor="accent1"/>
              <w:sz w:val="24"/>
              <w:szCs w:val="18"/>
            </w:rPr>
            <m:t>+16,800×</m:t>
          </m:r>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1+11%</m:t>
                  </m:r>
                </m:e>
              </m:d>
            </m:e>
            <m:sup>
              <m:r>
                <w:rPr>
                  <w:rFonts w:ascii="Cambria Math" w:eastAsia="Calibri" w:hAnsi="Cambria Math"/>
                  <w:color w:val="4472C4" w:themeColor="accent1"/>
                  <w:sz w:val="24"/>
                  <w:szCs w:val="18"/>
                </w:rPr>
                <m:t>-2</m:t>
              </m:r>
            </m:sup>
          </m:sSup>
        </m:oMath>
      </m:oMathPara>
    </w:p>
    <w:p w14:paraId="77761F75" w14:textId="3786C31D" w:rsidR="00B671CD" w:rsidRPr="004C0E0B" w:rsidRDefault="00B671CD" w:rsidP="004C0E0B">
      <w:pPr>
        <w:widowControl w:val="0"/>
        <w:autoSpaceDE w:val="0"/>
        <w:autoSpaceDN w:val="0"/>
        <w:adjustRightInd w:val="0"/>
        <w:spacing w:before="60"/>
        <w:ind w:left="1800"/>
        <w:jc w:val="both"/>
        <w:rPr>
          <w:rFonts w:eastAsia="Calibri"/>
          <w:color w:val="4472C4" w:themeColor="accent1"/>
          <w:sz w:val="24"/>
          <w:szCs w:val="18"/>
        </w:rPr>
      </w:pPr>
      <m:oMath>
        <m:r>
          <w:rPr>
            <w:rFonts w:ascii="Cambria Math" w:eastAsia="Calibri" w:hAnsi="Cambria Math"/>
            <w:color w:val="4472C4" w:themeColor="accent1"/>
            <w:sz w:val="24"/>
            <w:szCs w:val="18"/>
          </w:rPr>
          <m:t>+29,000×</m:t>
        </m:r>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1+11%</m:t>
                </m:r>
              </m:e>
            </m:d>
          </m:e>
          <m:sup>
            <m:r>
              <w:rPr>
                <w:rFonts w:ascii="Cambria Math" w:eastAsia="Calibri" w:hAnsi="Cambria Math"/>
                <w:color w:val="4472C4" w:themeColor="accent1"/>
                <w:sz w:val="24"/>
                <w:szCs w:val="18"/>
              </w:rPr>
              <m:t>-3</m:t>
            </m:r>
          </m:sup>
        </m:sSup>
        <m:r>
          <w:rPr>
            <w:rFonts w:ascii="Cambria Math" w:eastAsia="Calibri" w:hAnsi="Cambria Math"/>
            <w:color w:val="4472C4" w:themeColor="accent1"/>
            <w:sz w:val="24"/>
            <w:szCs w:val="18"/>
          </w:rPr>
          <m:t>+24,700×</m:t>
        </m:r>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1+11%</m:t>
                </m:r>
              </m:e>
            </m:d>
          </m:e>
          <m:sup>
            <m:r>
              <w:rPr>
                <w:rFonts w:ascii="Cambria Math" w:eastAsia="Calibri" w:hAnsi="Cambria Math"/>
                <w:color w:val="4472C4" w:themeColor="accent1"/>
                <w:sz w:val="24"/>
                <w:szCs w:val="18"/>
              </w:rPr>
              <m:t>-4</m:t>
            </m:r>
          </m:sup>
        </m:sSup>
        <m:r>
          <w:rPr>
            <w:rFonts w:ascii="Cambria Math" w:eastAsia="Calibri" w:hAnsi="Cambria Math"/>
            <w:color w:val="4472C4" w:themeColor="accent1"/>
            <w:sz w:val="24"/>
            <w:szCs w:val="18"/>
          </w:rPr>
          <m:t>=$1,425.78</m:t>
        </m:r>
      </m:oMath>
      <w:r w:rsidRPr="004C0E0B">
        <w:rPr>
          <w:rFonts w:eastAsia="Calibri"/>
          <w:color w:val="4472C4" w:themeColor="accent1"/>
          <w:sz w:val="24"/>
          <w:szCs w:val="18"/>
        </w:rPr>
        <w:t xml:space="preserve"> </w:t>
      </w:r>
    </w:p>
    <w:p w14:paraId="09A1C2A5" w14:textId="77777777" w:rsidR="00B671CD" w:rsidRPr="004C0E0B" w:rsidRDefault="00B671CD" w:rsidP="004C0E0B">
      <w:pPr>
        <w:widowControl w:val="0"/>
        <w:autoSpaceDE w:val="0"/>
        <w:autoSpaceDN w:val="0"/>
        <w:adjustRightInd w:val="0"/>
        <w:spacing w:before="60"/>
        <w:ind w:left="360"/>
        <w:jc w:val="both"/>
        <w:rPr>
          <w:rFonts w:eastAsia="Calibri"/>
          <w:color w:val="4472C4" w:themeColor="accent1"/>
          <w:sz w:val="24"/>
          <w:szCs w:val="18"/>
        </w:rPr>
      </w:pPr>
      <w:r w:rsidRPr="004C0E0B">
        <w:rPr>
          <w:rFonts w:eastAsia="Calibri"/>
          <w:color w:val="4472C4" w:themeColor="accent1"/>
          <w:sz w:val="24"/>
          <w:szCs w:val="18"/>
        </w:rPr>
        <w:t xml:space="preserve">This project has a </w:t>
      </w:r>
      <w:proofErr w:type="gramStart"/>
      <w:r w:rsidRPr="004C0E0B">
        <w:rPr>
          <w:rFonts w:eastAsia="Calibri"/>
          <w:color w:val="4472C4" w:themeColor="accent1"/>
          <w:sz w:val="24"/>
          <w:szCs w:val="18"/>
        </w:rPr>
        <w:t>positive cash flows</w:t>
      </w:r>
      <w:proofErr w:type="gramEnd"/>
      <w:r w:rsidRPr="004C0E0B">
        <w:rPr>
          <w:rFonts w:eastAsia="Calibri"/>
          <w:color w:val="4472C4" w:themeColor="accent1"/>
          <w:sz w:val="24"/>
          <w:szCs w:val="18"/>
        </w:rPr>
        <w:t>, so it is a profitable project.</w:t>
      </w:r>
    </w:p>
    <w:p w14:paraId="774A1318" w14:textId="0AB12148" w:rsidR="00B671CD" w:rsidRPr="004C0E0B" w:rsidRDefault="00B671CD" w:rsidP="004C0E0B">
      <w:pPr>
        <w:widowControl w:val="0"/>
        <w:autoSpaceDE w:val="0"/>
        <w:autoSpaceDN w:val="0"/>
        <w:adjustRightInd w:val="0"/>
        <w:spacing w:before="60"/>
        <w:ind w:left="360"/>
        <w:jc w:val="both"/>
        <w:rPr>
          <w:rFonts w:eastAsia="Calibri"/>
          <w:color w:val="4472C4" w:themeColor="accent1"/>
          <w:sz w:val="24"/>
          <w:szCs w:val="18"/>
        </w:rPr>
      </w:pPr>
      <w:r w:rsidRPr="004C0E0B">
        <w:rPr>
          <w:rFonts w:eastAsia="Calibri"/>
          <w:color w:val="4472C4" w:themeColor="accent1"/>
          <w:sz w:val="24"/>
          <w:szCs w:val="18"/>
        </w:rPr>
        <w:t>Since both projects are mutually exclusive, we need to choose the project with the highest NPV, i.e. Project B.</w:t>
      </w:r>
    </w:p>
    <w:p w14:paraId="76AF36A4" w14:textId="77777777" w:rsidR="00AA04AD" w:rsidRPr="00AA04AD" w:rsidRDefault="00AA04AD" w:rsidP="00AA04AD">
      <w:pPr>
        <w:pStyle w:val="ListParagraph"/>
        <w:widowControl w:val="0"/>
        <w:numPr>
          <w:ilvl w:val="0"/>
          <w:numId w:val="13"/>
        </w:numPr>
        <w:autoSpaceDE w:val="0"/>
        <w:autoSpaceDN w:val="0"/>
        <w:adjustRightInd w:val="0"/>
        <w:spacing w:before="60"/>
        <w:ind w:left="284" w:hanging="284"/>
        <w:jc w:val="both"/>
        <w:rPr>
          <w:rFonts w:eastAsia="Calibri"/>
          <w:sz w:val="24"/>
          <w:szCs w:val="18"/>
        </w:rPr>
      </w:pPr>
      <w:r>
        <w:rPr>
          <w:rFonts w:eastAsia="Calibri"/>
          <w:b/>
          <w:sz w:val="24"/>
          <w:szCs w:val="18"/>
        </w:rPr>
        <w:t>Net Present Value and Profitability Index</w:t>
      </w:r>
    </w:p>
    <w:p w14:paraId="5C7AF177" w14:textId="0D87AD46" w:rsidR="00AA04AD" w:rsidRDefault="00AA04AD" w:rsidP="00AA04AD">
      <w:pPr>
        <w:pStyle w:val="ListParagraph"/>
        <w:widowControl w:val="0"/>
        <w:autoSpaceDE w:val="0"/>
        <w:autoSpaceDN w:val="0"/>
        <w:adjustRightInd w:val="0"/>
        <w:spacing w:before="60"/>
        <w:ind w:left="284"/>
        <w:jc w:val="both"/>
        <w:rPr>
          <w:sz w:val="24"/>
          <w:szCs w:val="18"/>
        </w:rPr>
      </w:pPr>
      <w:proofErr w:type="spellStart"/>
      <w:r>
        <w:rPr>
          <w:sz w:val="24"/>
          <w:szCs w:val="18"/>
        </w:rPr>
        <w:t>TelCom</w:t>
      </w:r>
      <w:proofErr w:type="spellEnd"/>
      <w:r>
        <w:rPr>
          <w:sz w:val="24"/>
          <w:szCs w:val="18"/>
        </w:rPr>
        <w:t xml:space="preserve"> Co.</w:t>
      </w:r>
      <w:r w:rsidRPr="00AA04AD">
        <w:rPr>
          <w:sz w:val="24"/>
          <w:szCs w:val="18"/>
        </w:rPr>
        <w:t xml:space="preserve"> is trying to choose between the following two mutually exclusive design projects:</w:t>
      </w:r>
    </w:p>
    <w:tbl>
      <w:tblPr>
        <w:tblStyle w:val="GridTable1Light"/>
        <w:tblW w:w="7004" w:type="dxa"/>
        <w:jc w:val="center"/>
        <w:tblLook w:val="04A0" w:firstRow="1" w:lastRow="0" w:firstColumn="1" w:lastColumn="0" w:noHBand="0" w:noVBand="1"/>
      </w:tblPr>
      <w:tblGrid>
        <w:gridCol w:w="993"/>
        <w:gridCol w:w="3005"/>
        <w:gridCol w:w="3006"/>
      </w:tblGrid>
      <w:tr w:rsidR="00AA04AD" w14:paraId="1AE60233" w14:textId="77777777" w:rsidTr="00B671C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left w:val="nil"/>
              <w:right w:val="nil"/>
            </w:tcBorders>
            <w:vAlign w:val="center"/>
          </w:tcPr>
          <w:p w14:paraId="19204A85" w14:textId="77777777" w:rsidR="00AA04AD" w:rsidRDefault="00AA04AD" w:rsidP="00B671CD">
            <w:pPr>
              <w:pStyle w:val="ListParagraph"/>
              <w:widowControl w:val="0"/>
              <w:autoSpaceDE w:val="0"/>
              <w:autoSpaceDN w:val="0"/>
              <w:adjustRightInd w:val="0"/>
              <w:spacing w:before="60"/>
              <w:ind w:left="0"/>
              <w:jc w:val="both"/>
              <w:rPr>
                <w:rFonts w:eastAsia="Calibri"/>
                <w:sz w:val="24"/>
                <w:szCs w:val="18"/>
              </w:rPr>
            </w:pPr>
            <w:r w:rsidRPr="000C2E4F">
              <w:rPr>
                <w:color w:val="211D1E"/>
                <w:sz w:val="24"/>
              </w:rPr>
              <w:t xml:space="preserve">Year </w:t>
            </w:r>
          </w:p>
        </w:tc>
        <w:tc>
          <w:tcPr>
            <w:tcW w:w="3005" w:type="dxa"/>
            <w:tcBorders>
              <w:top w:val="nil"/>
              <w:left w:val="nil"/>
              <w:right w:val="nil"/>
            </w:tcBorders>
            <w:vAlign w:val="center"/>
          </w:tcPr>
          <w:p w14:paraId="06D78119" w14:textId="77777777" w:rsidR="00AA04AD" w:rsidRDefault="00AA04AD" w:rsidP="00B671CD">
            <w:pPr>
              <w:pStyle w:val="ListParagraph"/>
              <w:widowControl w:val="0"/>
              <w:autoSpaceDE w:val="0"/>
              <w:autoSpaceDN w:val="0"/>
              <w:adjustRightInd w:val="0"/>
              <w:spacing w:before="60"/>
              <w:ind w:left="0"/>
              <w:jc w:val="center"/>
              <w:cnfStyle w:val="100000000000" w:firstRow="1" w:lastRow="0" w:firstColumn="0" w:lastColumn="0" w:oddVBand="0" w:evenVBand="0" w:oddHBand="0" w:evenHBand="0" w:firstRowFirstColumn="0" w:firstRowLastColumn="0" w:lastRowFirstColumn="0" w:lastRowLastColumn="0"/>
              <w:rPr>
                <w:rFonts w:eastAsia="Calibri"/>
                <w:sz w:val="24"/>
                <w:szCs w:val="18"/>
              </w:rPr>
            </w:pPr>
            <w:r>
              <w:rPr>
                <w:color w:val="211D1E"/>
                <w:sz w:val="24"/>
              </w:rPr>
              <w:t xml:space="preserve">Project </w:t>
            </w:r>
            <w:r w:rsidRPr="000C2E4F">
              <w:rPr>
                <w:color w:val="211D1E"/>
                <w:sz w:val="24"/>
              </w:rPr>
              <w:t>A (</w:t>
            </w:r>
            <w:r>
              <w:rPr>
                <w:color w:val="211D1E"/>
                <w:sz w:val="24"/>
              </w:rPr>
              <w:t>$</w:t>
            </w:r>
            <w:r w:rsidRPr="000C2E4F">
              <w:rPr>
                <w:color w:val="211D1E"/>
                <w:sz w:val="24"/>
              </w:rPr>
              <w:t>)</w:t>
            </w:r>
          </w:p>
        </w:tc>
        <w:tc>
          <w:tcPr>
            <w:tcW w:w="3006" w:type="dxa"/>
            <w:tcBorders>
              <w:top w:val="nil"/>
              <w:left w:val="nil"/>
              <w:right w:val="nil"/>
            </w:tcBorders>
            <w:vAlign w:val="center"/>
          </w:tcPr>
          <w:p w14:paraId="14805914" w14:textId="77777777" w:rsidR="00AA04AD" w:rsidRDefault="00AA04AD" w:rsidP="00B671CD">
            <w:pPr>
              <w:pStyle w:val="ListParagraph"/>
              <w:widowControl w:val="0"/>
              <w:autoSpaceDE w:val="0"/>
              <w:autoSpaceDN w:val="0"/>
              <w:adjustRightInd w:val="0"/>
              <w:spacing w:before="60"/>
              <w:ind w:left="0"/>
              <w:jc w:val="center"/>
              <w:cnfStyle w:val="100000000000" w:firstRow="1" w:lastRow="0" w:firstColumn="0" w:lastColumn="0" w:oddVBand="0" w:evenVBand="0" w:oddHBand="0" w:evenHBand="0" w:firstRowFirstColumn="0" w:firstRowLastColumn="0" w:lastRowFirstColumn="0" w:lastRowLastColumn="0"/>
              <w:rPr>
                <w:rFonts w:eastAsia="Calibri"/>
                <w:sz w:val="24"/>
                <w:szCs w:val="18"/>
              </w:rPr>
            </w:pPr>
            <w:r>
              <w:rPr>
                <w:color w:val="211D1E"/>
                <w:sz w:val="24"/>
              </w:rPr>
              <w:t xml:space="preserve">Project B </w:t>
            </w:r>
            <w:r w:rsidRPr="000C2E4F">
              <w:rPr>
                <w:color w:val="211D1E"/>
                <w:sz w:val="24"/>
              </w:rPr>
              <w:t>(</w:t>
            </w:r>
            <w:r>
              <w:rPr>
                <w:color w:val="211D1E"/>
                <w:sz w:val="24"/>
              </w:rPr>
              <w:t>$</w:t>
            </w:r>
            <w:r w:rsidRPr="000C2E4F">
              <w:rPr>
                <w:color w:val="211D1E"/>
                <w:sz w:val="24"/>
              </w:rPr>
              <w:t>)</w:t>
            </w:r>
          </w:p>
        </w:tc>
      </w:tr>
      <w:tr w:rsidR="00AA04AD" w14:paraId="5F7FD182" w14:textId="77777777" w:rsidTr="00AA04AD">
        <w:trPr>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666666" w:themeColor="text1" w:themeTint="99"/>
              <w:left w:val="nil"/>
              <w:bottom w:val="nil"/>
              <w:right w:val="nil"/>
            </w:tcBorders>
            <w:vAlign w:val="center"/>
          </w:tcPr>
          <w:p w14:paraId="04EF1F45" w14:textId="77777777" w:rsidR="00AA04AD" w:rsidRDefault="00AA04AD" w:rsidP="00AA04AD">
            <w:pPr>
              <w:pStyle w:val="ListParagraph"/>
              <w:widowControl w:val="0"/>
              <w:autoSpaceDE w:val="0"/>
              <w:autoSpaceDN w:val="0"/>
              <w:adjustRightInd w:val="0"/>
              <w:spacing w:before="60"/>
              <w:ind w:left="0"/>
              <w:rPr>
                <w:rFonts w:eastAsia="Calibri"/>
                <w:sz w:val="24"/>
                <w:szCs w:val="18"/>
              </w:rPr>
            </w:pPr>
            <w:r w:rsidRPr="000C2E4F">
              <w:rPr>
                <w:color w:val="211D1E"/>
                <w:sz w:val="24"/>
              </w:rPr>
              <w:t>0</w:t>
            </w:r>
          </w:p>
        </w:tc>
        <w:tc>
          <w:tcPr>
            <w:tcW w:w="3005" w:type="dxa"/>
            <w:tcBorders>
              <w:top w:val="single" w:sz="12" w:space="0" w:color="666666" w:themeColor="text1" w:themeTint="99"/>
              <w:left w:val="nil"/>
              <w:bottom w:val="nil"/>
              <w:right w:val="nil"/>
            </w:tcBorders>
            <w:vAlign w:val="center"/>
          </w:tcPr>
          <w:p w14:paraId="648F4B24" w14:textId="64A1BC56" w:rsidR="00AA04AD" w:rsidRDefault="00AA04AD" w:rsidP="00AA04AD">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743D64">
              <w:t>-58,000</w:t>
            </w:r>
          </w:p>
        </w:tc>
        <w:tc>
          <w:tcPr>
            <w:tcW w:w="3006" w:type="dxa"/>
            <w:tcBorders>
              <w:top w:val="single" w:sz="12" w:space="0" w:color="666666" w:themeColor="text1" w:themeTint="99"/>
              <w:left w:val="nil"/>
              <w:bottom w:val="nil"/>
              <w:right w:val="nil"/>
            </w:tcBorders>
            <w:vAlign w:val="center"/>
          </w:tcPr>
          <w:p w14:paraId="6842A34E" w14:textId="76E97DA6" w:rsidR="00AA04AD" w:rsidRDefault="00AA04AD" w:rsidP="00AA04AD">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743D64">
              <w:t>-29,000</w:t>
            </w:r>
          </w:p>
        </w:tc>
      </w:tr>
      <w:tr w:rsidR="00AA04AD" w14:paraId="177185E1" w14:textId="77777777" w:rsidTr="00AA04AD">
        <w:trPr>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left w:val="nil"/>
              <w:bottom w:val="nil"/>
              <w:right w:val="nil"/>
            </w:tcBorders>
            <w:vAlign w:val="center"/>
          </w:tcPr>
          <w:p w14:paraId="459550D4" w14:textId="77777777" w:rsidR="00AA04AD" w:rsidRDefault="00AA04AD" w:rsidP="00AA04AD">
            <w:pPr>
              <w:pStyle w:val="ListParagraph"/>
              <w:widowControl w:val="0"/>
              <w:autoSpaceDE w:val="0"/>
              <w:autoSpaceDN w:val="0"/>
              <w:adjustRightInd w:val="0"/>
              <w:spacing w:before="60"/>
              <w:ind w:left="0"/>
              <w:rPr>
                <w:rFonts w:eastAsia="Calibri"/>
                <w:sz w:val="24"/>
                <w:szCs w:val="18"/>
              </w:rPr>
            </w:pPr>
            <w:r w:rsidRPr="000C2E4F">
              <w:rPr>
                <w:color w:val="211D1E"/>
                <w:sz w:val="24"/>
              </w:rPr>
              <w:t>1</w:t>
            </w:r>
          </w:p>
        </w:tc>
        <w:tc>
          <w:tcPr>
            <w:tcW w:w="3005" w:type="dxa"/>
            <w:tcBorders>
              <w:top w:val="nil"/>
              <w:left w:val="nil"/>
              <w:bottom w:val="nil"/>
              <w:right w:val="nil"/>
            </w:tcBorders>
            <w:vAlign w:val="center"/>
          </w:tcPr>
          <w:p w14:paraId="0C4A9E60" w14:textId="160A1138" w:rsidR="00AA04AD" w:rsidRDefault="00AA04AD" w:rsidP="00AA04AD">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743D64">
              <w:t>23,200</w:t>
            </w:r>
          </w:p>
        </w:tc>
        <w:tc>
          <w:tcPr>
            <w:tcW w:w="3006" w:type="dxa"/>
            <w:tcBorders>
              <w:top w:val="nil"/>
              <w:left w:val="nil"/>
              <w:bottom w:val="nil"/>
              <w:right w:val="nil"/>
            </w:tcBorders>
            <w:vAlign w:val="center"/>
          </w:tcPr>
          <w:p w14:paraId="25AA75AF" w14:textId="00186DEE" w:rsidR="00AA04AD" w:rsidRDefault="00AA04AD" w:rsidP="00AA04AD">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743D64">
              <w:t>10,100</w:t>
            </w:r>
          </w:p>
        </w:tc>
      </w:tr>
      <w:tr w:rsidR="00AA04AD" w14:paraId="2324C986" w14:textId="77777777" w:rsidTr="00AA04AD">
        <w:trPr>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left w:val="nil"/>
              <w:bottom w:val="nil"/>
              <w:right w:val="nil"/>
            </w:tcBorders>
            <w:vAlign w:val="center"/>
          </w:tcPr>
          <w:p w14:paraId="7929D144" w14:textId="77777777" w:rsidR="00AA04AD" w:rsidRDefault="00AA04AD" w:rsidP="00AA04AD">
            <w:pPr>
              <w:pStyle w:val="ListParagraph"/>
              <w:widowControl w:val="0"/>
              <w:autoSpaceDE w:val="0"/>
              <w:autoSpaceDN w:val="0"/>
              <w:adjustRightInd w:val="0"/>
              <w:spacing w:before="60"/>
              <w:ind w:left="0"/>
              <w:rPr>
                <w:rFonts w:eastAsia="Calibri"/>
                <w:sz w:val="24"/>
                <w:szCs w:val="18"/>
              </w:rPr>
            </w:pPr>
            <w:r w:rsidRPr="000C2E4F">
              <w:rPr>
                <w:color w:val="211D1E"/>
                <w:sz w:val="24"/>
              </w:rPr>
              <w:t>2</w:t>
            </w:r>
          </w:p>
        </w:tc>
        <w:tc>
          <w:tcPr>
            <w:tcW w:w="3005" w:type="dxa"/>
            <w:tcBorders>
              <w:top w:val="nil"/>
              <w:left w:val="nil"/>
              <w:bottom w:val="nil"/>
              <w:right w:val="nil"/>
            </w:tcBorders>
            <w:vAlign w:val="center"/>
          </w:tcPr>
          <w:p w14:paraId="544E1750" w14:textId="164E7CD9" w:rsidR="00AA04AD" w:rsidRDefault="00AA04AD" w:rsidP="00AA04AD">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743D64">
              <w:t>23,200</w:t>
            </w:r>
          </w:p>
        </w:tc>
        <w:tc>
          <w:tcPr>
            <w:tcW w:w="3006" w:type="dxa"/>
            <w:tcBorders>
              <w:top w:val="nil"/>
              <w:left w:val="nil"/>
              <w:bottom w:val="nil"/>
              <w:right w:val="nil"/>
            </w:tcBorders>
            <w:vAlign w:val="center"/>
          </w:tcPr>
          <w:p w14:paraId="52E12A68" w14:textId="2D7C7448" w:rsidR="00AA04AD" w:rsidRDefault="00AA04AD" w:rsidP="00AA04AD">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743D64">
              <w:t>10,100</w:t>
            </w:r>
          </w:p>
        </w:tc>
      </w:tr>
      <w:tr w:rsidR="00AA04AD" w14:paraId="428CA937" w14:textId="77777777" w:rsidTr="00AA04AD">
        <w:trPr>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left w:val="nil"/>
              <w:bottom w:val="nil"/>
              <w:right w:val="nil"/>
            </w:tcBorders>
            <w:vAlign w:val="center"/>
          </w:tcPr>
          <w:p w14:paraId="5553E92D" w14:textId="77777777" w:rsidR="00AA04AD" w:rsidRDefault="00AA04AD" w:rsidP="00AA04AD">
            <w:pPr>
              <w:pStyle w:val="ListParagraph"/>
              <w:widowControl w:val="0"/>
              <w:autoSpaceDE w:val="0"/>
              <w:autoSpaceDN w:val="0"/>
              <w:adjustRightInd w:val="0"/>
              <w:spacing w:before="60"/>
              <w:ind w:left="0"/>
              <w:rPr>
                <w:rFonts w:eastAsia="Calibri"/>
                <w:sz w:val="24"/>
                <w:szCs w:val="18"/>
              </w:rPr>
            </w:pPr>
            <w:r w:rsidRPr="000C2E4F">
              <w:rPr>
                <w:color w:val="211D1E"/>
                <w:sz w:val="24"/>
              </w:rPr>
              <w:t>3</w:t>
            </w:r>
          </w:p>
        </w:tc>
        <w:tc>
          <w:tcPr>
            <w:tcW w:w="3005" w:type="dxa"/>
            <w:tcBorders>
              <w:top w:val="nil"/>
              <w:left w:val="nil"/>
              <w:bottom w:val="nil"/>
              <w:right w:val="nil"/>
            </w:tcBorders>
            <w:vAlign w:val="center"/>
          </w:tcPr>
          <w:p w14:paraId="0F2558D7" w14:textId="178A6801" w:rsidR="00AA04AD" w:rsidRDefault="00AA04AD" w:rsidP="00AA04AD">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743D64">
              <w:t>23,200</w:t>
            </w:r>
          </w:p>
        </w:tc>
        <w:tc>
          <w:tcPr>
            <w:tcW w:w="3006" w:type="dxa"/>
            <w:tcBorders>
              <w:top w:val="nil"/>
              <w:left w:val="nil"/>
              <w:bottom w:val="nil"/>
              <w:right w:val="nil"/>
            </w:tcBorders>
            <w:vAlign w:val="center"/>
          </w:tcPr>
          <w:p w14:paraId="26CDDC64" w14:textId="1A843B24" w:rsidR="00AA04AD" w:rsidRDefault="00AA04AD" w:rsidP="00AA04AD">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743D64">
              <w:t>10,100</w:t>
            </w:r>
          </w:p>
        </w:tc>
      </w:tr>
      <w:tr w:rsidR="00AA04AD" w14:paraId="5B05FAED" w14:textId="77777777" w:rsidTr="00AA04AD">
        <w:trPr>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left w:val="nil"/>
              <w:bottom w:val="single" w:sz="6" w:space="0" w:color="auto"/>
              <w:right w:val="nil"/>
            </w:tcBorders>
            <w:vAlign w:val="center"/>
          </w:tcPr>
          <w:p w14:paraId="2944885C" w14:textId="77777777" w:rsidR="00AA04AD" w:rsidRDefault="00AA04AD" w:rsidP="00AA04AD">
            <w:pPr>
              <w:pStyle w:val="ListParagraph"/>
              <w:widowControl w:val="0"/>
              <w:autoSpaceDE w:val="0"/>
              <w:autoSpaceDN w:val="0"/>
              <w:adjustRightInd w:val="0"/>
              <w:spacing w:before="60"/>
              <w:ind w:left="0"/>
              <w:rPr>
                <w:rFonts w:eastAsia="Calibri"/>
                <w:sz w:val="24"/>
                <w:szCs w:val="18"/>
              </w:rPr>
            </w:pPr>
            <w:r w:rsidRPr="000C2E4F">
              <w:rPr>
                <w:color w:val="211D1E"/>
                <w:sz w:val="24"/>
              </w:rPr>
              <w:t>4</w:t>
            </w:r>
          </w:p>
        </w:tc>
        <w:tc>
          <w:tcPr>
            <w:tcW w:w="3005" w:type="dxa"/>
            <w:tcBorders>
              <w:top w:val="nil"/>
              <w:left w:val="nil"/>
              <w:bottom w:val="single" w:sz="6" w:space="0" w:color="auto"/>
              <w:right w:val="nil"/>
            </w:tcBorders>
            <w:vAlign w:val="center"/>
          </w:tcPr>
          <w:p w14:paraId="4530020B" w14:textId="187D8F0D" w:rsidR="00AA04AD" w:rsidRDefault="00AA04AD" w:rsidP="00AA04AD">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743D64">
              <w:t>23,200</w:t>
            </w:r>
          </w:p>
        </w:tc>
        <w:tc>
          <w:tcPr>
            <w:tcW w:w="3006" w:type="dxa"/>
            <w:tcBorders>
              <w:top w:val="nil"/>
              <w:left w:val="nil"/>
              <w:bottom w:val="single" w:sz="6" w:space="0" w:color="auto"/>
              <w:right w:val="nil"/>
            </w:tcBorders>
            <w:vAlign w:val="center"/>
          </w:tcPr>
          <w:p w14:paraId="5DCB4AEB" w14:textId="3C5532A1" w:rsidR="00AA04AD" w:rsidRDefault="00AA04AD" w:rsidP="00AA04AD">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743D64">
              <w:t>10,100</w:t>
            </w:r>
          </w:p>
        </w:tc>
      </w:tr>
    </w:tbl>
    <w:p w14:paraId="280C2540" w14:textId="48568340" w:rsidR="00AA04AD" w:rsidRDefault="00AA04AD" w:rsidP="00AA04AD">
      <w:pPr>
        <w:pStyle w:val="ListParagraph"/>
        <w:widowControl w:val="0"/>
        <w:numPr>
          <w:ilvl w:val="0"/>
          <w:numId w:val="22"/>
        </w:numPr>
        <w:autoSpaceDE w:val="0"/>
        <w:autoSpaceDN w:val="0"/>
        <w:adjustRightInd w:val="0"/>
        <w:spacing w:before="120" w:after="0" w:line="240" w:lineRule="auto"/>
        <w:ind w:left="567"/>
        <w:jc w:val="both"/>
        <w:rPr>
          <w:sz w:val="24"/>
          <w:szCs w:val="18"/>
        </w:rPr>
      </w:pPr>
      <w:r w:rsidRPr="00AA04AD">
        <w:rPr>
          <w:sz w:val="24"/>
          <w:szCs w:val="18"/>
        </w:rPr>
        <w:t>If the required return is 7</w:t>
      </w:r>
      <w:r w:rsidR="00521D07">
        <w:rPr>
          <w:sz w:val="24"/>
          <w:szCs w:val="18"/>
        </w:rPr>
        <w:t>%</w:t>
      </w:r>
      <w:r w:rsidRPr="00AA04AD">
        <w:rPr>
          <w:sz w:val="24"/>
          <w:szCs w:val="18"/>
        </w:rPr>
        <w:t xml:space="preserve"> and if the company applies the NPV decision rule, which project should the firm accept?</w:t>
      </w:r>
    </w:p>
    <w:p w14:paraId="38DA34A6" w14:textId="5ECED8DB" w:rsidR="00B671CD" w:rsidRDefault="00B671CD" w:rsidP="00B671CD">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b/>
          <w:color w:val="4472C4" w:themeColor="accent1"/>
          <w:sz w:val="24"/>
          <w:szCs w:val="18"/>
        </w:rPr>
        <w:t xml:space="preserve">N.B. </w:t>
      </w:r>
      <w:r>
        <w:rPr>
          <w:rFonts w:eastAsia="Calibri"/>
          <w:color w:val="4472C4" w:themeColor="accent1"/>
          <w:sz w:val="24"/>
          <w:szCs w:val="18"/>
        </w:rPr>
        <w:t>Both projects generate constant annual cash flows, therefore, we can use the annuity formula to calculate the NPV and the PI.</w:t>
      </w:r>
    </w:p>
    <w:p w14:paraId="376B35FA" w14:textId="77777777" w:rsidR="00B671CD" w:rsidRDefault="00B671CD" w:rsidP="00B671CD">
      <w:pPr>
        <w:pStyle w:val="ListParagraph"/>
        <w:widowControl w:val="0"/>
        <w:autoSpaceDE w:val="0"/>
        <w:autoSpaceDN w:val="0"/>
        <w:adjustRightInd w:val="0"/>
        <w:spacing w:before="60"/>
        <w:ind w:left="284"/>
        <w:jc w:val="both"/>
        <w:rPr>
          <w:rFonts w:eastAsia="Calibri"/>
          <w:color w:val="4472C4" w:themeColor="accent1"/>
          <w:sz w:val="24"/>
          <w:szCs w:val="18"/>
        </w:rPr>
      </w:pPr>
    </w:p>
    <w:p w14:paraId="24405ECE" w14:textId="7330C145" w:rsidR="00B671CD" w:rsidRDefault="00B671CD" w:rsidP="00B671CD">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We have:</w:t>
      </w:r>
    </w:p>
    <w:p w14:paraId="5481D4E5" w14:textId="297884E5" w:rsidR="00B671CD" w:rsidRPr="00B671CD" w:rsidRDefault="00B671CD" w:rsidP="00B671CD">
      <w:pPr>
        <w:pStyle w:val="ListParagraph"/>
        <w:widowControl w:val="0"/>
        <w:autoSpaceDE w:val="0"/>
        <w:autoSpaceDN w:val="0"/>
        <w:adjustRightInd w:val="0"/>
        <w:spacing w:before="60"/>
        <w:ind w:left="284"/>
        <w:jc w:val="both"/>
        <w:rPr>
          <w:sz w:val="24"/>
          <w:szCs w:val="18"/>
        </w:rPr>
      </w:pPr>
      <m:oMathPara>
        <m:oMathParaPr>
          <m:jc m:val="left"/>
        </m:oMathParaPr>
        <m:oMath>
          <m:r>
            <w:rPr>
              <w:rFonts w:ascii="Cambria Math" w:eastAsia="Calibri" w:hAnsi="Cambria Math"/>
              <w:color w:val="4472C4" w:themeColor="accent1"/>
              <w:sz w:val="24"/>
              <w:szCs w:val="18"/>
            </w:rPr>
            <m:t>NP</m:t>
          </m:r>
          <m:sSub>
            <m:sSubPr>
              <m:ctrlPr>
                <w:rPr>
                  <w:rFonts w:ascii="Cambria Math" w:eastAsia="Calibri" w:hAnsi="Cambria Math"/>
                  <w:i/>
                  <w:color w:val="4472C4" w:themeColor="accent1"/>
                  <w:sz w:val="24"/>
                  <w:szCs w:val="18"/>
                </w:rPr>
              </m:ctrlPr>
            </m:sSubPr>
            <m:e>
              <m:r>
                <w:rPr>
                  <w:rFonts w:ascii="Cambria Math" w:eastAsia="Calibri" w:hAnsi="Cambria Math"/>
                  <w:color w:val="4472C4" w:themeColor="accent1"/>
                  <w:sz w:val="24"/>
                  <w:szCs w:val="18"/>
                </w:rPr>
                <m:t>V</m:t>
              </m:r>
            </m:e>
            <m:sub>
              <m:r>
                <w:rPr>
                  <w:rFonts w:ascii="Cambria Math" w:eastAsia="Calibri" w:hAnsi="Cambria Math"/>
                  <w:color w:val="4472C4" w:themeColor="accent1"/>
                  <w:sz w:val="24"/>
                  <w:szCs w:val="18"/>
                </w:rPr>
                <m:t>A</m:t>
              </m:r>
            </m:sub>
          </m:sSub>
          <m:r>
            <w:rPr>
              <w:rFonts w:ascii="Cambria Math" w:eastAsia="Calibri" w:hAnsi="Cambria Math"/>
              <w:color w:val="4472C4" w:themeColor="accent1"/>
              <w:sz w:val="24"/>
              <w:szCs w:val="18"/>
            </w:rPr>
            <m:t>=-58,000+23,200×</m:t>
          </m:r>
          <m:f>
            <m:fPr>
              <m:ctrlPr>
                <w:rPr>
                  <w:rFonts w:ascii="Cambria Math" w:eastAsia="Calibri" w:hAnsi="Cambria Math"/>
                  <w:i/>
                  <w:color w:val="4472C4" w:themeColor="accent1"/>
                  <w:sz w:val="24"/>
                  <w:szCs w:val="18"/>
                </w:rPr>
              </m:ctrlPr>
            </m:fPr>
            <m:num>
              <m:sSup>
                <m:sSupPr>
                  <m:ctrlPr>
                    <w:rPr>
                      <w:rFonts w:ascii="Cambria Math" w:eastAsia="Calibri" w:hAnsi="Cambria Math"/>
                      <w:i/>
                      <w:color w:val="4472C4" w:themeColor="accent1"/>
                      <w:sz w:val="24"/>
                      <w:szCs w:val="18"/>
                    </w:rPr>
                  </m:ctrlPr>
                </m:sSupPr>
                <m:e>
                  <m:r>
                    <w:rPr>
                      <w:rFonts w:ascii="Cambria Math" w:eastAsia="Calibri" w:hAnsi="Cambria Math"/>
                      <w:color w:val="4472C4" w:themeColor="accent1"/>
                      <w:sz w:val="24"/>
                      <w:szCs w:val="18"/>
                    </w:rPr>
                    <m:t>1-</m:t>
                  </m:r>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1+7%</m:t>
                      </m:r>
                    </m:e>
                  </m:d>
                </m:e>
                <m:sup>
                  <m:r>
                    <w:rPr>
                      <w:rFonts w:ascii="Cambria Math" w:eastAsia="Calibri" w:hAnsi="Cambria Math"/>
                      <w:color w:val="4472C4" w:themeColor="accent1"/>
                      <w:sz w:val="24"/>
                      <w:szCs w:val="18"/>
                    </w:rPr>
                    <m:t>-4</m:t>
                  </m:r>
                </m:sup>
              </m:sSup>
            </m:num>
            <m:den>
              <m:r>
                <w:rPr>
                  <w:rFonts w:ascii="Cambria Math" w:eastAsia="Calibri" w:hAnsi="Cambria Math"/>
                  <w:color w:val="4472C4" w:themeColor="accent1"/>
                  <w:sz w:val="24"/>
                  <w:szCs w:val="18"/>
                </w:rPr>
                <m:t>7%</m:t>
              </m:r>
            </m:den>
          </m:f>
          <m:r>
            <w:rPr>
              <w:rFonts w:ascii="Cambria Math" w:eastAsia="Calibri" w:hAnsi="Cambria Math"/>
              <w:color w:val="4472C4" w:themeColor="accent1"/>
              <w:sz w:val="24"/>
              <w:szCs w:val="18"/>
            </w:rPr>
            <m:t>=$20,583.30</m:t>
          </m:r>
        </m:oMath>
      </m:oMathPara>
    </w:p>
    <w:p w14:paraId="39F5FBA7" w14:textId="188122E2" w:rsidR="00B671CD" w:rsidRPr="00B671CD" w:rsidRDefault="00B671CD" w:rsidP="00B671CD">
      <w:pPr>
        <w:pStyle w:val="ListParagraph"/>
        <w:widowControl w:val="0"/>
        <w:autoSpaceDE w:val="0"/>
        <w:autoSpaceDN w:val="0"/>
        <w:adjustRightInd w:val="0"/>
        <w:spacing w:before="60"/>
        <w:ind w:left="284"/>
        <w:jc w:val="both"/>
        <w:rPr>
          <w:rFonts w:eastAsiaTheme="minorEastAsia"/>
          <w:color w:val="4472C4" w:themeColor="accent1"/>
          <w:sz w:val="24"/>
          <w:szCs w:val="18"/>
        </w:rPr>
      </w:pPr>
      <m:oMathPara>
        <m:oMathParaPr>
          <m:jc m:val="left"/>
        </m:oMathParaPr>
        <m:oMath>
          <m:r>
            <w:rPr>
              <w:rFonts w:ascii="Cambria Math" w:eastAsia="Calibri" w:hAnsi="Cambria Math"/>
              <w:color w:val="4472C4" w:themeColor="accent1"/>
              <w:sz w:val="24"/>
              <w:szCs w:val="18"/>
            </w:rPr>
            <m:t>NP</m:t>
          </m:r>
          <m:sSub>
            <m:sSubPr>
              <m:ctrlPr>
                <w:rPr>
                  <w:rFonts w:ascii="Cambria Math" w:eastAsia="Calibri" w:hAnsi="Cambria Math"/>
                  <w:i/>
                  <w:color w:val="4472C4" w:themeColor="accent1"/>
                  <w:sz w:val="24"/>
                  <w:szCs w:val="18"/>
                </w:rPr>
              </m:ctrlPr>
            </m:sSubPr>
            <m:e>
              <m:r>
                <w:rPr>
                  <w:rFonts w:ascii="Cambria Math" w:eastAsia="Calibri" w:hAnsi="Cambria Math"/>
                  <w:color w:val="4472C4" w:themeColor="accent1"/>
                  <w:sz w:val="24"/>
                  <w:szCs w:val="18"/>
                </w:rPr>
                <m:t>V</m:t>
              </m:r>
            </m:e>
            <m:sub>
              <m:r>
                <w:rPr>
                  <w:rFonts w:ascii="Cambria Math" w:eastAsia="Calibri" w:hAnsi="Cambria Math"/>
                  <w:color w:val="4472C4" w:themeColor="accent1"/>
                  <w:sz w:val="24"/>
                  <w:szCs w:val="18"/>
                </w:rPr>
                <m:t>B</m:t>
              </m:r>
            </m:sub>
          </m:sSub>
          <m:r>
            <w:rPr>
              <w:rFonts w:ascii="Cambria Math" w:eastAsia="Calibri" w:hAnsi="Cambria Math"/>
              <w:color w:val="4472C4" w:themeColor="accent1"/>
              <w:sz w:val="24"/>
              <w:szCs w:val="18"/>
            </w:rPr>
            <m:t>=-29,000+10,100×</m:t>
          </m:r>
          <m:f>
            <m:fPr>
              <m:ctrlPr>
                <w:rPr>
                  <w:rFonts w:ascii="Cambria Math" w:eastAsia="Calibri" w:hAnsi="Cambria Math"/>
                  <w:i/>
                  <w:color w:val="4472C4" w:themeColor="accent1"/>
                  <w:sz w:val="24"/>
                  <w:szCs w:val="18"/>
                </w:rPr>
              </m:ctrlPr>
            </m:fPr>
            <m:num>
              <m:sSup>
                <m:sSupPr>
                  <m:ctrlPr>
                    <w:rPr>
                      <w:rFonts w:ascii="Cambria Math" w:eastAsia="Calibri" w:hAnsi="Cambria Math"/>
                      <w:i/>
                      <w:color w:val="4472C4" w:themeColor="accent1"/>
                      <w:sz w:val="24"/>
                      <w:szCs w:val="18"/>
                    </w:rPr>
                  </m:ctrlPr>
                </m:sSupPr>
                <m:e>
                  <m:r>
                    <w:rPr>
                      <w:rFonts w:ascii="Cambria Math" w:eastAsia="Calibri" w:hAnsi="Cambria Math"/>
                      <w:color w:val="4472C4" w:themeColor="accent1"/>
                      <w:sz w:val="24"/>
                      <w:szCs w:val="18"/>
                    </w:rPr>
                    <m:t>1-</m:t>
                  </m:r>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1+7%</m:t>
                      </m:r>
                    </m:e>
                  </m:d>
                </m:e>
                <m:sup>
                  <m:r>
                    <w:rPr>
                      <w:rFonts w:ascii="Cambria Math" w:eastAsia="Calibri" w:hAnsi="Cambria Math"/>
                      <w:color w:val="4472C4" w:themeColor="accent1"/>
                      <w:sz w:val="24"/>
                      <w:szCs w:val="18"/>
                    </w:rPr>
                    <m:t>-4</m:t>
                  </m:r>
                </m:sup>
              </m:sSup>
            </m:num>
            <m:den>
              <m:r>
                <w:rPr>
                  <w:rFonts w:ascii="Cambria Math" w:eastAsia="Calibri" w:hAnsi="Cambria Math"/>
                  <w:color w:val="4472C4" w:themeColor="accent1"/>
                  <w:sz w:val="24"/>
                  <w:szCs w:val="18"/>
                </w:rPr>
                <m:t>7%</m:t>
              </m:r>
            </m:den>
          </m:f>
          <m:r>
            <w:rPr>
              <w:rFonts w:ascii="Cambria Math" w:eastAsia="Calibri" w:hAnsi="Cambria Math"/>
              <w:color w:val="4472C4" w:themeColor="accent1"/>
              <w:sz w:val="24"/>
              <w:szCs w:val="18"/>
            </w:rPr>
            <m:t>=$5,210.83</m:t>
          </m:r>
        </m:oMath>
      </m:oMathPara>
    </w:p>
    <w:p w14:paraId="2D240295" w14:textId="04DDD1E8" w:rsidR="00B671CD" w:rsidRPr="00B671CD" w:rsidRDefault="00B671CD" w:rsidP="00C802CC">
      <w:pPr>
        <w:pStyle w:val="ListParagraph"/>
        <w:widowControl w:val="0"/>
        <w:autoSpaceDE w:val="0"/>
        <w:autoSpaceDN w:val="0"/>
        <w:adjustRightInd w:val="0"/>
        <w:spacing w:before="60"/>
        <w:ind w:left="360"/>
        <w:jc w:val="both"/>
        <w:rPr>
          <w:rFonts w:eastAsiaTheme="minorEastAsia"/>
          <w:sz w:val="24"/>
          <w:szCs w:val="18"/>
        </w:rPr>
      </w:pPr>
      <w:r>
        <w:rPr>
          <w:rFonts w:eastAsiaTheme="minorEastAsia"/>
          <w:color w:val="4472C4" w:themeColor="accent1"/>
          <w:sz w:val="24"/>
          <w:szCs w:val="18"/>
        </w:rPr>
        <w:t>Using the NPV decision rule, Project A should be accepted.</w:t>
      </w:r>
    </w:p>
    <w:p w14:paraId="4CCA577F" w14:textId="77777777" w:rsidR="00B671CD" w:rsidRPr="00B671CD" w:rsidRDefault="00B671CD" w:rsidP="00B671CD">
      <w:pPr>
        <w:pStyle w:val="ListParagraph"/>
        <w:widowControl w:val="0"/>
        <w:autoSpaceDE w:val="0"/>
        <w:autoSpaceDN w:val="0"/>
        <w:adjustRightInd w:val="0"/>
        <w:spacing w:before="60"/>
        <w:ind w:left="644"/>
        <w:jc w:val="both"/>
        <w:rPr>
          <w:rFonts w:eastAsiaTheme="minorEastAsia"/>
          <w:sz w:val="24"/>
          <w:szCs w:val="18"/>
        </w:rPr>
      </w:pPr>
    </w:p>
    <w:p w14:paraId="74FDC085" w14:textId="1C7A581B" w:rsidR="00AA04AD" w:rsidRDefault="00AA04AD" w:rsidP="00AA04AD">
      <w:pPr>
        <w:pStyle w:val="ListParagraph"/>
        <w:widowControl w:val="0"/>
        <w:numPr>
          <w:ilvl w:val="0"/>
          <w:numId w:val="22"/>
        </w:numPr>
        <w:autoSpaceDE w:val="0"/>
        <w:autoSpaceDN w:val="0"/>
        <w:adjustRightInd w:val="0"/>
        <w:spacing w:before="120" w:after="0" w:line="240" w:lineRule="auto"/>
        <w:ind w:left="567"/>
        <w:jc w:val="both"/>
        <w:rPr>
          <w:sz w:val="24"/>
          <w:szCs w:val="18"/>
        </w:rPr>
      </w:pPr>
      <w:r w:rsidRPr="00AA04AD">
        <w:rPr>
          <w:sz w:val="24"/>
          <w:szCs w:val="18"/>
        </w:rPr>
        <w:t xml:space="preserve">If the company applies the profitability index decision rule which </w:t>
      </w:r>
      <w:proofErr w:type="gramStart"/>
      <w:r w:rsidRPr="00AA04AD">
        <w:rPr>
          <w:sz w:val="24"/>
          <w:szCs w:val="18"/>
        </w:rPr>
        <w:t>project</w:t>
      </w:r>
      <w:proofErr w:type="gramEnd"/>
      <w:r w:rsidRPr="00AA04AD">
        <w:rPr>
          <w:sz w:val="24"/>
          <w:szCs w:val="18"/>
        </w:rPr>
        <w:t xml:space="preserve"> should it take?</w:t>
      </w:r>
    </w:p>
    <w:p w14:paraId="1C92C8BF" w14:textId="4171414D" w:rsidR="00AA04AD" w:rsidRDefault="00B671CD" w:rsidP="00B671CD">
      <w:pPr>
        <w:widowControl w:val="0"/>
        <w:autoSpaceDE w:val="0"/>
        <w:autoSpaceDN w:val="0"/>
        <w:adjustRightInd w:val="0"/>
        <w:spacing w:before="120" w:after="0" w:line="240" w:lineRule="auto"/>
        <w:ind w:left="207"/>
        <w:jc w:val="both"/>
        <w:rPr>
          <w:b/>
          <w:color w:val="4472C4" w:themeColor="accent1"/>
          <w:sz w:val="24"/>
          <w:szCs w:val="18"/>
        </w:rPr>
      </w:pPr>
      <w:r>
        <w:rPr>
          <w:b/>
          <w:color w:val="4472C4" w:themeColor="accent1"/>
          <w:sz w:val="24"/>
          <w:szCs w:val="18"/>
        </w:rPr>
        <w:t>Formula:</w:t>
      </w:r>
    </w:p>
    <w:p w14:paraId="30E2F87F" w14:textId="6A5AF7B1" w:rsidR="00B671CD" w:rsidRPr="00B671CD" w:rsidRDefault="00B671CD" w:rsidP="00B671CD">
      <w:pPr>
        <w:widowControl w:val="0"/>
        <w:autoSpaceDE w:val="0"/>
        <w:autoSpaceDN w:val="0"/>
        <w:adjustRightInd w:val="0"/>
        <w:spacing w:before="120" w:after="0" w:line="240" w:lineRule="auto"/>
        <w:ind w:left="207"/>
        <w:jc w:val="both"/>
        <w:rPr>
          <w:rFonts w:eastAsiaTheme="minorEastAsia"/>
          <w:color w:val="4472C4" w:themeColor="accent1"/>
          <w:sz w:val="24"/>
          <w:szCs w:val="18"/>
        </w:rPr>
      </w:pPr>
      <m:oMathPara>
        <m:oMathParaPr>
          <m:jc m:val="left"/>
        </m:oMathParaPr>
        <m:oMath>
          <m:r>
            <w:rPr>
              <w:rFonts w:ascii="Cambria Math" w:hAnsi="Cambria Math"/>
              <w:color w:val="4472C4" w:themeColor="accent1"/>
              <w:sz w:val="24"/>
              <w:szCs w:val="18"/>
            </w:rPr>
            <m:t>PI</m:t>
          </m:r>
          <m:r>
            <w:rPr>
              <w:rFonts w:ascii="Cambria Math" w:eastAsiaTheme="minorEastAsia" w:hAnsi="Cambria Math"/>
              <w:color w:val="4472C4" w:themeColor="accent1"/>
              <w:sz w:val="24"/>
              <w:szCs w:val="18"/>
            </w:rPr>
            <m:t>=</m:t>
          </m:r>
          <m:f>
            <m:fPr>
              <m:ctrlPr>
                <w:rPr>
                  <w:rFonts w:ascii="Cambria Math" w:eastAsiaTheme="minorEastAsia" w:hAnsi="Cambria Math"/>
                  <w:i/>
                  <w:color w:val="4472C4" w:themeColor="accent1"/>
                  <w:sz w:val="24"/>
                  <w:szCs w:val="18"/>
                </w:rPr>
              </m:ctrlPr>
            </m:fPr>
            <m:num>
              <m:nary>
                <m:naryPr>
                  <m:chr m:val="∑"/>
                  <m:limLoc m:val="undOvr"/>
                  <m:ctrlPr>
                    <w:rPr>
                      <w:rFonts w:ascii="Cambria Math" w:eastAsia="Calibri" w:hAnsi="Cambria Math"/>
                      <w:i/>
                      <w:color w:val="4472C4" w:themeColor="accent1"/>
                      <w:sz w:val="24"/>
                      <w:szCs w:val="18"/>
                    </w:rPr>
                  </m:ctrlPr>
                </m:naryPr>
                <m:sub>
                  <m:r>
                    <w:rPr>
                      <w:rFonts w:ascii="Cambria Math" w:eastAsia="Calibri" w:hAnsi="Cambria Math"/>
                      <w:color w:val="4472C4" w:themeColor="accent1"/>
                      <w:sz w:val="24"/>
                      <w:szCs w:val="18"/>
                    </w:rPr>
                    <m:t>i=1</m:t>
                  </m:r>
                </m:sub>
                <m:sup>
                  <m:r>
                    <w:rPr>
                      <w:rFonts w:ascii="Cambria Math" w:eastAsia="Calibri" w:hAnsi="Cambria Math"/>
                      <w:color w:val="4472C4" w:themeColor="accent1"/>
                      <w:sz w:val="24"/>
                      <w:szCs w:val="18"/>
                    </w:rPr>
                    <m:t>t</m:t>
                  </m:r>
                </m:sup>
                <m:e>
                  <m:r>
                    <w:rPr>
                      <w:rFonts w:ascii="Cambria Math" w:eastAsia="Calibri" w:hAnsi="Cambria Math"/>
                      <w:color w:val="4472C4" w:themeColor="accent1"/>
                      <w:sz w:val="24"/>
                      <w:szCs w:val="18"/>
                    </w:rPr>
                    <m:t>C</m:t>
                  </m:r>
                  <m:sSub>
                    <m:sSubPr>
                      <m:ctrlPr>
                        <w:rPr>
                          <w:rFonts w:ascii="Cambria Math" w:eastAsia="Calibri" w:hAnsi="Cambria Math"/>
                          <w:i/>
                          <w:color w:val="4472C4" w:themeColor="accent1"/>
                          <w:sz w:val="24"/>
                          <w:szCs w:val="18"/>
                        </w:rPr>
                      </m:ctrlPr>
                    </m:sSubPr>
                    <m:e>
                      <m:r>
                        <w:rPr>
                          <w:rFonts w:ascii="Cambria Math" w:eastAsia="Calibri" w:hAnsi="Cambria Math"/>
                          <w:color w:val="4472C4" w:themeColor="accent1"/>
                          <w:sz w:val="24"/>
                          <w:szCs w:val="18"/>
                        </w:rPr>
                        <m:t>F</m:t>
                      </m:r>
                    </m:e>
                    <m:sub>
                      <m:r>
                        <w:rPr>
                          <w:rFonts w:ascii="Cambria Math" w:eastAsia="Calibri" w:hAnsi="Cambria Math"/>
                          <w:color w:val="4472C4" w:themeColor="accent1"/>
                          <w:sz w:val="24"/>
                          <w:szCs w:val="18"/>
                        </w:rPr>
                        <m:t>i</m:t>
                      </m:r>
                    </m:sub>
                  </m:sSub>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1+r</m:t>
                          </m:r>
                        </m:e>
                      </m:d>
                    </m:e>
                    <m:sup>
                      <m:r>
                        <w:rPr>
                          <w:rFonts w:ascii="Cambria Math" w:eastAsia="Calibri" w:hAnsi="Cambria Math"/>
                          <w:color w:val="4472C4" w:themeColor="accent1"/>
                          <w:sz w:val="24"/>
                          <w:szCs w:val="18"/>
                        </w:rPr>
                        <m:t>-i</m:t>
                      </m:r>
                    </m:sup>
                  </m:sSup>
                </m:e>
              </m:nary>
              <m:ctrlPr>
                <w:rPr>
                  <w:rFonts w:ascii="Cambria Math" w:hAnsi="Cambria Math"/>
                  <w:i/>
                  <w:color w:val="4472C4" w:themeColor="accent1"/>
                  <w:sz w:val="24"/>
                  <w:szCs w:val="18"/>
                </w:rPr>
              </m:ctrlPr>
            </m:num>
            <m:den>
              <m:sSub>
                <m:sSubPr>
                  <m:ctrlPr>
                    <w:rPr>
                      <w:rFonts w:ascii="Cambria Math" w:hAnsi="Cambria Math"/>
                      <w:i/>
                      <w:color w:val="4472C4" w:themeColor="accent1"/>
                      <w:sz w:val="24"/>
                      <w:szCs w:val="18"/>
                    </w:rPr>
                  </m:ctrlPr>
                </m:sSubPr>
                <m:e>
                  <m:r>
                    <w:rPr>
                      <w:rFonts w:ascii="Cambria Math" w:hAnsi="Cambria Math"/>
                      <w:color w:val="4472C4" w:themeColor="accent1"/>
                      <w:sz w:val="24"/>
                      <w:szCs w:val="18"/>
                    </w:rPr>
                    <m:t>I</m:t>
                  </m:r>
                </m:e>
                <m:sub>
                  <m:r>
                    <w:rPr>
                      <w:rFonts w:ascii="Cambria Math" w:hAnsi="Cambria Math"/>
                      <w:color w:val="4472C4" w:themeColor="accent1"/>
                      <w:sz w:val="24"/>
                      <w:szCs w:val="18"/>
                    </w:rPr>
                    <m:t>0</m:t>
                  </m:r>
                </m:sub>
              </m:sSub>
            </m:den>
          </m:f>
        </m:oMath>
      </m:oMathPara>
    </w:p>
    <w:p w14:paraId="24B47C57" w14:textId="77777777" w:rsidR="00B671CD" w:rsidRDefault="00B671CD" w:rsidP="00B671CD">
      <w:pPr>
        <w:widowControl w:val="0"/>
        <w:autoSpaceDE w:val="0"/>
        <w:autoSpaceDN w:val="0"/>
        <w:adjustRightInd w:val="0"/>
        <w:spacing w:before="120" w:after="0" w:line="240" w:lineRule="auto"/>
        <w:ind w:left="207"/>
        <w:jc w:val="both"/>
        <w:rPr>
          <w:color w:val="4472C4" w:themeColor="accent1"/>
          <w:sz w:val="24"/>
          <w:szCs w:val="18"/>
        </w:rPr>
      </w:pPr>
      <w:r>
        <w:rPr>
          <w:color w:val="4472C4" w:themeColor="accent1"/>
          <w:sz w:val="24"/>
          <w:szCs w:val="18"/>
        </w:rPr>
        <w:t>The Profitability Index (PI) calculates the return on each $1 invested in the project. A PI higher than 1 means that the project is profitable.</w:t>
      </w:r>
    </w:p>
    <w:p w14:paraId="5CF222B1" w14:textId="77777777" w:rsidR="00B671CD" w:rsidRDefault="00B671CD" w:rsidP="00B671CD">
      <w:pPr>
        <w:widowControl w:val="0"/>
        <w:autoSpaceDE w:val="0"/>
        <w:autoSpaceDN w:val="0"/>
        <w:adjustRightInd w:val="0"/>
        <w:spacing w:before="120" w:after="0" w:line="240" w:lineRule="auto"/>
        <w:ind w:left="207"/>
        <w:jc w:val="both"/>
        <w:rPr>
          <w:color w:val="4472C4" w:themeColor="accent1"/>
          <w:sz w:val="24"/>
          <w:szCs w:val="18"/>
        </w:rPr>
      </w:pPr>
    </w:p>
    <w:p w14:paraId="3E9A475C" w14:textId="77777777" w:rsidR="00B671CD" w:rsidRDefault="00B671CD" w:rsidP="00B671CD">
      <w:pPr>
        <w:widowControl w:val="0"/>
        <w:autoSpaceDE w:val="0"/>
        <w:autoSpaceDN w:val="0"/>
        <w:adjustRightInd w:val="0"/>
        <w:spacing w:before="120" w:after="0" w:line="240" w:lineRule="auto"/>
        <w:ind w:left="207"/>
        <w:jc w:val="both"/>
        <w:rPr>
          <w:color w:val="4472C4" w:themeColor="accent1"/>
          <w:sz w:val="24"/>
          <w:szCs w:val="18"/>
        </w:rPr>
      </w:pPr>
      <w:r>
        <w:rPr>
          <w:color w:val="4472C4" w:themeColor="accent1"/>
          <w:sz w:val="24"/>
          <w:szCs w:val="18"/>
        </w:rPr>
        <w:t>We have:</w:t>
      </w:r>
    </w:p>
    <w:p w14:paraId="3EDD26D4" w14:textId="3F8D7359" w:rsidR="00B671CD" w:rsidRPr="00D9588D" w:rsidRDefault="00B671CD" w:rsidP="00B671CD">
      <w:pPr>
        <w:widowControl w:val="0"/>
        <w:autoSpaceDE w:val="0"/>
        <w:autoSpaceDN w:val="0"/>
        <w:adjustRightInd w:val="0"/>
        <w:spacing w:before="120" w:after="0" w:line="240" w:lineRule="auto"/>
        <w:ind w:left="207"/>
        <w:jc w:val="both"/>
        <w:rPr>
          <w:rFonts w:eastAsiaTheme="minorEastAsia"/>
          <w:color w:val="4472C4" w:themeColor="accent1"/>
          <w:sz w:val="24"/>
          <w:szCs w:val="18"/>
        </w:rPr>
      </w:pPr>
      <m:oMathPara>
        <m:oMathParaPr>
          <m:jc m:val="left"/>
        </m:oMathParaPr>
        <m:oMath>
          <m:r>
            <w:rPr>
              <w:rFonts w:ascii="Cambria Math" w:hAnsi="Cambria Math"/>
              <w:color w:val="4472C4" w:themeColor="accent1"/>
              <w:sz w:val="24"/>
              <w:szCs w:val="18"/>
            </w:rPr>
            <m:t>P</m:t>
          </m:r>
          <m:sSub>
            <m:sSubPr>
              <m:ctrlPr>
                <w:rPr>
                  <w:rFonts w:ascii="Cambria Math" w:hAnsi="Cambria Math"/>
                  <w:i/>
                  <w:color w:val="4472C4" w:themeColor="accent1"/>
                  <w:sz w:val="24"/>
                  <w:szCs w:val="18"/>
                </w:rPr>
              </m:ctrlPr>
            </m:sSubPr>
            <m:e>
              <m:r>
                <w:rPr>
                  <w:rFonts w:ascii="Cambria Math" w:hAnsi="Cambria Math"/>
                  <w:color w:val="4472C4" w:themeColor="accent1"/>
                  <w:sz w:val="24"/>
                  <w:szCs w:val="18"/>
                </w:rPr>
                <m:t>I</m:t>
              </m:r>
            </m:e>
            <m:sub>
              <m:r>
                <w:rPr>
                  <w:rFonts w:ascii="Cambria Math" w:hAnsi="Cambria Math"/>
                  <w:color w:val="4472C4" w:themeColor="accent1"/>
                  <w:sz w:val="24"/>
                  <w:szCs w:val="18"/>
                </w:rPr>
                <m:t>A</m:t>
              </m:r>
            </m:sub>
          </m:sSub>
          <m:r>
            <w:rPr>
              <w:rFonts w:ascii="Cambria Math" w:hAnsi="Cambria Math"/>
              <w:color w:val="4472C4" w:themeColor="accent1"/>
              <w:sz w:val="24"/>
              <w:szCs w:val="18"/>
            </w:rPr>
            <m:t>=</m:t>
          </m:r>
          <m:f>
            <m:fPr>
              <m:ctrlPr>
                <w:rPr>
                  <w:rFonts w:ascii="Cambria Math" w:hAnsi="Cambria Math"/>
                  <w:i/>
                  <w:color w:val="4472C4" w:themeColor="accent1"/>
                  <w:sz w:val="24"/>
                  <w:szCs w:val="18"/>
                </w:rPr>
              </m:ctrlPr>
            </m:fPr>
            <m:num>
              <m:r>
                <w:rPr>
                  <w:rFonts w:ascii="Cambria Math" w:eastAsia="Calibri" w:hAnsi="Cambria Math"/>
                  <w:color w:val="4472C4" w:themeColor="accent1"/>
                  <w:sz w:val="24"/>
                  <w:szCs w:val="18"/>
                </w:rPr>
                <m:t>23,200×</m:t>
              </m:r>
              <m:f>
                <m:fPr>
                  <m:ctrlPr>
                    <w:rPr>
                      <w:rFonts w:ascii="Cambria Math" w:eastAsia="Calibri" w:hAnsi="Cambria Math"/>
                      <w:i/>
                      <w:color w:val="4472C4" w:themeColor="accent1"/>
                      <w:sz w:val="24"/>
                      <w:szCs w:val="18"/>
                    </w:rPr>
                  </m:ctrlPr>
                </m:fPr>
                <m:num>
                  <m:sSup>
                    <m:sSupPr>
                      <m:ctrlPr>
                        <w:rPr>
                          <w:rFonts w:ascii="Cambria Math" w:eastAsia="Calibri" w:hAnsi="Cambria Math"/>
                          <w:i/>
                          <w:color w:val="4472C4" w:themeColor="accent1"/>
                          <w:sz w:val="24"/>
                          <w:szCs w:val="18"/>
                        </w:rPr>
                      </m:ctrlPr>
                    </m:sSupPr>
                    <m:e>
                      <m:r>
                        <w:rPr>
                          <w:rFonts w:ascii="Cambria Math" w:eastAsia="Calibri" w:hAnsi="Cambria Math"/>
                          <w:color w:val="4472C4" w:themeColor="accent1"/>
                          <w:sz w:val="24"/>
                          <w:szCs w:val="18"/>
                        </w:rPr>
                        <m:t>1-</m:t>
                      </m:r>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1+7%</m:t>
                          </m:r>
                        </m:e>
                      </m:d>
                    </m:e>
                    <m:sup>
                      <m:r>
                        <w:rPr>
                          <w:rFonts w:ascii="Cambria Math" w:eastAsia="Calibri" w:hAnsi="Cambria Math"/>
                          <w:color w:val="4472C4" w:themeColor="accent1"/>
                          <w:sz w:val="24"/>
                          <w:szCs w:val="18"/>
                        </w:rPr>
                        <m:t>-4</m:t>
                      </m:r>
                    </m:sup>
                  </m:sSup>
                </m:num>
                <m:den>
                  <m:r>
                    <w:rPr>
                      <w:rFonts w:ascii="Cambria Math" w:eastAsia="Calibri" w:hAnsi="Cambria Math"/>
                      <w:color w:val="4472C4" w:themeColor="accent1"/>
                      <w:sz w:val="24"/>
                      <w:szCs w:val="18"/>
                    </w:rPr>
                    <m:t>7%</m:t>
                  </m:r>
                </m:den>
              </m:f>
            </m:num>
            <m:den>
              <m:r>
                <w:rPr>
                  <w:rFonts w:ascii="Cambria Math" w:hAnsi="Cambria Math"/>
                  <w:color w:val="4472C4" w:themeColor="accent1"/>
                  <w:sz w:val="24"/>
                  <w:szCs w:val="18"/>
                </w:rPr>
                <m:t>58,000</m:t>
              </m:r>
            </m:den>
          </m:f>
          <m:r>
            <w:rPr>
              <w:rFonts w:ascii="Cambria Math" w:eastAsiaTheme="minorEastAsia" w:hAnsi="Cambria Math"/>
              <w:color w:val="4472C4" w:themeColor="accent1"/>
              <w:sz w:val="24"/>
              <w:szCs w:val="18"/>
            </w:rPr>
            <m:t>=1.35</m:t>
          </m:r>
        </m:oMath>
      </m:oMathPara>
    </w:p>
    <w:p w14:paraId="74DE84FC" w14:textId="622C4D9A" w:rsidR="00D9588D" w:rsidRPr="00B671CD" w:rsidRDefault="00D9588D" w:rsidP="00D9588D">
      <w:pPr>
        <w:widowControl w:val="0"/>
        <w:autoSpaceDE w:val="0"/>
        <w:autoSpaceDN w:val="0"/>
        <w:adjustRightInd w:val="0"/>
        <w:spacing w:before="120" w:after="0" w:line="240" w:lineRule="auto"/>
        <w:ind w:left="207"/>
        <w:jc w:val="both"/>
        <w:rPr>
          <w:color w:val="4472C4" w:themeColor="accent1"/>
          <w:sz w:val="24"/>
          <w:szCs w:val="18"/>
        </w:rPr>
      </w:pPr>
      <m:oMathPara>
        <m:oMathParaPr>
          <m:jc m:val="left"/>
        </m:oMathParaPr>
        <m:oMath>
          <m:r>
            <w:rPr>
              <w:rFonts w:ascii="Cambria Math" w:hAnsi="Cambria Math"/>
              <w:color w:val="4472C4" w:themeColor="accent1"/>
              <w:sz w:val="24"/>
              <w:szCs w:val="18"/>
            </w:rPr>
            <m:t>P</m:t>
          </m:r>
          <m:sSub>
            <m:sSubPr>
              <m:ctrlPr>
                <w:rPr>
                  <w:rFonts w:ascii="Cambria Math" w:hAnsi="Cambria Math"/>
                  <w:i/>
                  <w:color w:val="4472C4" w:themeColor="accent1"/>
                  <w:sz w:val="24"/>
                  <w:szCs w:val="18"/>
                </w:rPr>
              </m:ctrlPr>
            </m:sSubPr>
            <m:e>
              <m:r>
                <w:rPr>
                  <w:rFonts w:ascii="Cambria Math" w:hAnsi="Cambria Math"/>
                  <w:color w:val="4472C4" w:themeColor="accent1"/>
                  <w:sz w:val="24"/>
                  <w:szCs w:val="18"/>
                </w:rPr>
                <m:t>I</m:t>
              </m:r>
            </m:e>
            <m:sub>
              <m:r>
                <w:rPr>
                  <w:rFonts w:ascii="Cambria Math" w:hAnsi="Cambria Math"/>
                  <w:color w:val="4472C4" w:themeColor="accent1"/>
                  <w:sz w:val="24"/>
                  <w:szCs w:val="18"/>
                </w:rPr>
                <m:t>B</m:t>
              </m:r>
            </m:sub>
          </m:sSub>
          <m:r>
            <w:rPr>
              <w:rFonts w:ascii="Cambria Math" w:hAnsi="Cambria Math"/>
              <w:color w:val="4472C4" w:themeColor="accent1"/>
              <w:sz w:val="24"/>
              <w:szCs w:val="18"/>
            </w:rPr>
            <m:t>=</m:t>
          </m:r>
          <m:f>
            <m:fPr>
              <m:ctrlPr>
                <w:rPr>
                  <w:rFonts w:ascii="Cambria Math" w:hAnsi="Cambria Math"/>
                  <w:i/>
                  <w:color w:val="4472C4" w:themeColor="accent1"/>
                  <w:sz w:val="24"/>
                  <w:szCs w:val="18"/>
                </w:rPr>
              </m:ctrlPr>
            </m:fPr>
            <m:num>
              <m:r>
                <w:rPr>
                  <w:rFonts w:ascii="Cambria Math" w:eastAsia="Calibri" w:hAnsi="Cambria Math"/>
                  <w:color w:val="4472C4" w:themeColor="accent1"/>
                  <w:sz w:val="24"/>
                  <w:szCs w:val="18"/>
                </w:rPr>
                <m:t>10,100×</m:t>
              </m:r>
              <m:f>
                <m:fPr>
                  <m:ctrlPr>
                    <w:rPr>
                      <w:rFonts w:ascii="Cambria Math" w:eastAsia="Calibri" w:hAnsi="Cambria Math"/>
                      <w:i/>
                      <w:color w:val="4472C4" w:themeColor="accent1"/>
                      <w:sz w:val="24"/>
                      <w:szCs w:val="18"/>
                    </w:rPr>
                  </m:ctrlPr>
                </m:fPr>
                <m:num>
                  <m:sSup>
                    <m:sSupPr>
                      <m:ctrlPr>
                        <w:rPr>
                          <w:rFonts w:ascii="Cambria Math" w:eastAsia="Calibri" w:hAnsi="Cambria Math"/>
                          <w:i/>
                          <w:color w:val="4472C4" w:themeColor="accent1"/>
                          <w:sz w:val="24"/>
                          <w:szCs w:val="18"/>
                        </w:rPr>
                      </m:ctrlPr>
                    </m:sSupPr>
                    <m:e>
                      <m:r>
                        <w:rPr>
                          <w:rFonts w:ascii="Cambria Math" w:eastAsia="Calibri" w:hAnsi="Cambria Math"/>
                          <w:color w:val="4472C4" w:themeColor="accent1"/>
                          <w:sz w:val="24"/>
                          <w:szCs w:val="18"/>
                        </w:rPr>
                        <m:t>1-</m:t>
                      </m:r>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1+7%</m:t>
                          </m:r>
                        </m:e>
                      </m:d>
                    </m:e>
                    <m:sup>
                      <m:r>
                        <w:rPr>
                          <w:rFonts w:ascii="Cambria Math" w:eastAsia="Calibri" w:hAnsi="Cambria Math"/>
                          <w:color w:val="4472C4" w:themeColor="accent1"/>
                          <w:sz w:val="24"/>
                          <w:szCs w:val="18"/>
                        </w:rPr>
                        <m:t>-4</m:t>
                      </m:r>
                    </m:sup>
                  </m:sSup>
                </m:num>
                <m:den>
                  <m:r>
                    <w:rPr>
                      <w:rFonts w:ascii="Cambria Math" w:eastAsia="Calibri" w:hAnsi="Cambria Math"/>
                      <w:color w:val="4472C4" w:themeColor="accent1"/>
                      <w:sz w:val="24"/>
                      <w:szCs w:val="18"/>
                    </w:rPr>
                    <m:t>7%</m:t>
                  </m:r>
                </m:den>
              </m:f>
            </m:num>
            <m:den>
              <m:r>
                <w:rPr>
                  <w:rFonts w:ascii="Cambria Math" w:hAnsi="Cambria Math"/>
                  <w:color w:val="4472C4" w:themeColor="accent1"/>
                  <w:sz w:val="24"/>
                  <w:szCs w:val="18"/>
                </w:rPr>
                <m:t>29,000</m:t>
              </m:r>
            </m:den>
          </m:f>
          <m:r>
            <w:rPr>
              <w:rFonts w:ascii="Cambria Math" w:eastAsiaTheme="minorEastAsia" w:hAnsi="Cambria Math"/>
              <w:color w:val="4472C4" w:themeColor="accent1"/>
              <w:sz w:val="24"/>
              <w:szCs w:val="18"/>
            </w:rPr>
            <m:t>=1.18</m:t>
          </m:r>
        </m:oMath>
      </m:oMathPara>
    </w:p>
    <w:p w14:paraId="308EE471" w14:textId="08FB2635" w:rsidR="00D9588D" w:rsidRPr="00D9588D" w:rsidRDefault="00D9588D" w:rsidP="00C802CC">
      <w:pPr>
        <w:pStyle w:val="ListParagraph"/>
        <w:widowControl w:val="0"/>
        <w:autoSpaceDE w:val="0"/>
        <w:autoSpaceDN w:val="0"/>
        <w:adjustRightInd w:val="0"/>
        <w:spacing w:before="120" w:after="0" w:line="240" w:lineRule="auto"/>
        <w:ind w:left="284"/>
        <w:jc w:val="both"/>
        <w:rPr>
          <w:color w:val="4472C4" w:themeColor="accent1"/>
          <w:sz w:val="24"/>
          <w:szCs w:val="18"/>
        </w:rPr>
      </w:pPr>
      <w:r>
        <w:rPr>
          <w:color w:val="4472C4" w:themeColor="accent1"/>
          <w:sz w:val="24"/>
          <w:szCs w:val="18"/>
        </w:rPr>
        <w:t>Using the PI decision rule, Project A should be accepted. Each $1 invested in the project generate</w:t>
      </w:r>
      <w:r w:rsidR="00903E5F">
        <w:rPr>
          <w:color w:val="4472C4" w:themeColor="accent1"/>
          <w:sz w:val="24"/>
          <w:szCs w:val="18"/>
        </w:rPr>
        <w:t>s</w:t>
      </w:r>
      <w:r>
        <w:rPr>
          <w:color w:val="4472C4" w:themeColor="accent1"/>
          <w:sz w:val="24"/>
          <w:szCs w:val="18"/>
        </w:rPr>
        <w:t xml:space="preserve"> $1.35.</w:t>
      </w:r>
    </w:p>
    <w:p w14:paraId="05997856" w14:textId="77777777" w:rsidR="00D9588D" w:rsidRPr="00D9588D" w:rsidRDefault="00D9588D" w:rsidP="00D9588D">
      <w:pPr>
        <w:pStyle w:val="ListParagraph"/>
        <w:widowControl w:val="0"/>
        <w:autoSpaceDE w:val="0"/>
        <w:autoSpaceDN w:val="0"/>
        <w:adjustRightInd w:val="0"/>
        <w:spacing w:before="120" w:after="0" w:line="240" w:lineRule="auto"/>
        <w:ind w:left="284"/>
        <w:jc w:val="both"/>
        <w:rPr>
          <w:color w:val="4472C4" w:themeColor="accent1"/>
          <w:sz w:val="24"/>
          <w:szCs w:val="18"/>
        </w:rPr>
      </w:pPr>
    </w:p>
    <w:p w14:paraId="5D525B10" w14:textId="77777777" w:rsidR="00521D07" w:rsidRPr="00521D07" w:rsidRDefault="00AA04AD" w:rsidP="00521D07">
      <w:pPr>
        <w:pStyle w:val="ListParagraph"/>
        <w:widowControl w:val="0"/>
        <w:numPr>
          <w:ilvl w:val="0"/>
          <w:numId w:val="13"/>
        </w:numPr>
        <w:autoSpaceDE w:val="0"/>
        <w:autoSpaceDN w:val="0"/>
        <w:adjustRightInd w:val="0"/>
        <w:spacing w:before="60"/>
        <w:ind w:left="284" w:hanging="284"/>
        <w:jc w:val="both"/>
        <w:rPr>
          <w:rFonts w:eastAsia="Calibri"/>
          <w:sz w:val="24"/>
          <w:szCs w:val="18"/>
        </w:rPr>
      </w:pPr>
      <w:bookmarkStart w:id="2" w:name="_Hlk53441397"/>
      <w:r>
        <w:rPr>
          <w:rFonts w:eastAsia="Calibri"/>
          <w:b/>
          <w:sz w:val="24"/>
          <w:szCs w:val="18"/>
        </w:rPr>
        <w:t xml:space="preserve">Net Present Value and </w:t>
      </w:r>
      <w:r w:rsidR="00521D07">
        <w:rPr>
          <w:rFonts w:eastAsia="Calibri"/>
          <w:b/>
          <w:sz w:val="24"/>
          <w:szCs w:val="18"/>
        </w:rPr>
        <w:t>Internal Rate of Return</w:t>
      </w:r>
      <w:bookmarkEnd w:id="2"/>
    </w:p>
    <w:p w14:paraId="05C80B67" w14:textId="5206B9B6" w:rsidR="00521D07" w:rsidRDefault="00521D07" w:rsidP="00521D07">
      <w:pPr>
        <w:pStyle w:val="ListParagraph"/>
        <w:widowControl w:val="0"/>
        <w:autoSpaceDE w:val="0"/>
        <w:autoSpaceDN w:val="0"/>
        <w:adjustRightInd w:val="0"/>
        <w:spacing w:before="60"/>
        <w:ind w:left="284"/>
        <w:jc w:val="both"/>
        <w:rPr>
          <w:sz w:val="24"/>
          <w:szCs w:val="18"/>
        </w:rPr>
      </w:pPr>
      <w:r>
        <w:rPr>
          <w:sz w:val="24"/>
          <w:szCs w:val="18"/>
        </w:rPr>
        <w:t>Coco</w:t>
      </w:r>
      <w:r w:rsidRPr="00521D07">
        <w:rPr>
          <w:sz w:val="24"/>
          <w:szCs w:val="18"/>
        </w:rPr>
        <w:t xml:space="preserve"> </w:t>
      </w:r>
      <w:r>
        <w:rPr>
          <w:sz w:val="24"/>
          <w:szCs w:val="18"/>
        </w:rPr>
        <w:t>NV</w:t>
      </w:r>
      <w:r w:rsidRPr="00521D07">
        <w:rPr>
          <w:sz w:val="24"/>
          <w:szCs w:val="18"/>
        </w:rPr>
        <w:t xml:space="preserve"> is trying to evaluate a generation project with the following cash flows:</w:t>
      </w:r>
    </w:p>
    <w:tbl>
      <w:tblPr>
        <w:tblStyle w:val="GridTable1Light"/>
        <w:tblW w:w="3998" w:type="dxa"/>
        <w:jc w:val="center"/>
        <w:tblLook w:val="04A0" w:firstRow="1" w:lastRow="0" w:firstColumn="1" w:lastColumn="0" w:noHBand="0" w:noVBand="1"/>
      </w:tblPr>
      <w:tblGrid>
        <w:gridCol w:w="993"/>
        <w:gridCol w:w="3005"/>
      </w:tblGrid>
      <w:tr w:rsidR="00521D07" w14:paraId="279F73A0" w14:textId="77777777" w:rsidTr="00521D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left w:val="nil"/>
              <w:right w:val="nil"/>
            </w:tcBorders>
            <w:vAlign w:val="center"/>
          </w:tcPr>
          <w:p w14:paraId="551DCB70" w14:textId="77777777" w:rsidR="00521D07" w:rsidRDefault="00521D07" w:rsidP="00B671CD">
            <w:pPr>
              <w:pStyle w:val="ListParagraph"/>
              <w:widowControl w:val="0"/>
              <w:autoSpaceDE w:val="0"/>
              <w:autoSpaceDN w:val="0"/>
              <w:adjustRightInd w:val="0"/>
              <w:spacing w:before="60"/>
              <w:ind w:left="0"/>
              <w:jc w:val="both"/>
              <w:rPr>
                <w:rFonts w:eastAsia="Calibri"/>
                <w:sz w:val="24"/>
                <w:szCs w:val="18"/>
              </w:rPr>
            </w:pPr>
            <w:r w:rsidRPr="000C2E4F">
              <w:rPr>
                <w:color w:val="211D1E"/>
                <w:sz w:val="24"/>
              </w:rPr>
              <w:t xml:space="preserve">Year </w:t>
            </w:r>
          </w:p>
        </w:tc>
        <w:tc>
          <w:tcPr>
            <w:tcW w:w="3005" w:type="dxa"/>
            <w:tcBorders>
              <w:top w:val="nil"/>
              <w:left w:val="nil"/>
              <w:right w:val="nil"/>
            </w:tcBorders>
            <w:vAlign w:val="center"/>
          </w:tcPr>
          <w:p w14:paraId="73127022" w14:textId="7F55089C" w:rsidR="00521D07" w:rsidRDefault="00521D07" w:rsidP="00B671CD">
            <w:pPr>
              <w:pStyle w:val="ListParagraph"/>
              <w:widowControl w:val="0"/>
              <w:autoSpaceDE w:val="0"/>
              <w:autoSpaceDN w:val="0"/>
              <w:adjustRightInd w:val="0"/>
              <w:spacing w:before="60"/>
              <w:ind w:left="0"/>
              <w:jc w:val="center"/>
              <w:cnfStyle w:val="100000000000" w:firstRow="1" w:lastRow="0" w:firstColumn="0" w:lastColumn="0" w:oddVBand="0" w:evenVBand="0" w:oddHBand="0" w:evenHBand="0" w:firstRowFirstColumn="0" w:firstRowLastColumn="0" w:lastRowFirstColumn="0" w:lastRowLastColumn="0"/>
              <w:rPr>
                <w:rFonts w:eastAsia="Calibri"/>
                <w:sz w:val="24"/>
                <w:szCs w:val="18"/>
              </w:rPr>
            </w:pPr>
            <w:r>
              <w:rPr>
                <w:color w:val="211D1E"/>
                <w:sz w:val="24"/>
              </w:rPr>
              <w:t xml:space="preserve">Project </w:t>
            </w:r>
            <w:r w:rsidRPr="000C2E4F">
              <w:rPr>
                <w:color w:val="211D1E"/>
                <w:sz w:val="24"/>
              </w:rPr>
              <w:t>A (</w:t>
            </w:r>
            <w:r>
              <w:rPr>
                <w:color w:val="211D1E"/>
                <w:sz w:val="24"/>
              </w:rPr>
              <w:t>€million</w:t>
            </w:r>
            <w:r w:rsidRPr="000C2E4F">
              <w:rPr>
                <w:color w:val="211D1E"/>
                <w:sz w:val="24"/>
              </w:rPr>
              <w:t>)</w:t>
            </w:r>
          </w:p>
        </w:tc>
      </w:tr>
      <w:tr w:rsidR="00521D07" w14:paraId="5E6E73EA" w14:textId="77777777" w:rsidTr="00521D07">
        <w:trPr>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666666" w:themeColor="text1" w:themeTint="99"/>
              <w:left w:val="nil"/>
              <w:bottom w:val="nil"/>
              <w:right w:val="nil"/>
            </w:tcBorders>
            <w:vAlign w:val="center"/>
          </w:tcPr>
          <w:p w14:paraId="2B2392A6" w14:textId="77777777" w:rsidR="00521D07" w:rsidRDefault="00521D07" w:rsidP="00B671CD">
            <w:pPr>
              <w:pStyle w:val="ListParagraph"/>
              <w:widowControl w:val="0"/>
              <w:autoSpaceDE w:val="0"/>
              <w:autoSpaceDN w:val="0"/>
              <w:adjustRightInd w:val="0"/>
              <w:spacing w:before="60"/>
              <w:ind w:left="0"/>
              <w:rPr>
                <w:rFonts w:eastAsia="Calibri"/>
                <w:sz w:val="24"/>
                <w:szCs w:val="18"/>
              </w:rPr>
            </w:pPr>
            <w:r w:rsidRPr="000C2E4F">
              <w:rPr>
                <w:color w:val="211D1E"/>
                <w:sz w:val="24"/>
              </w:rPr>
              <w:t>0</w:t>
            </w:r>
          </w:p>
        </w:tc>
        <w:tc>
          <w:tcPr>
            <w:tcW w:w="3005" w:type="dxa"/>
            <w:tcBorders>
              <w:top w:val="single" w:sz="12" w:space="0" w:color="666666" w:themeColor="text1" w:themeTint="99"/>
              <w:left w:val="nil"/>
              <w:bottom w:val="nil"/>
              <w:right w:val="nil"/>
            </w:tcBorders>
            <w:vAlign w:val="center"/>
          </w:tcPr>
          <w:p w14:paraId="0EBDB5C3" w14:textId="15FDD15C" w:rsidR="00521D07" w:rsidRDefault="00521D07" w:rsidP="00B671CD">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743D64">
              <w:t>-</w:t>
            </w:r>
            <w:r>
              <w:t>470</w:t>
            </w:r>
          </w:p>
        </w:tc>
      </w:tr>
      <w:tr w:rsidR="00521D07" w14:paraId="5F622234" w14:textId="77777777" w:rsidTr="00521D07">
        <w:trPr>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left w:val="nil"/>
              <w:bottom w:val="nil"/>
              <w:right w:val="nil"/>
            </w:tcBorders>
            <w:vAlign w:val="center"/>
          </w:tcPr>
          <w:p w14:paraId="4E61D164" w14:textId="77777777" w:rsidR="00521D07" w:rsidRDefault="00521D07" w:rsidP="00521D07">
            <w:pPr>
              <w:pStyle w:val="ListParagraph"/>
              <w:widowControl w:val="0"/>
              <w:autoSpaceDE w:val="0"/>
              <w:autoSpaceDN w:val="0"/>
              <w:adjustRightInd w:val="0"/>
              <w:spacing w:before="60"/>
              <w:ind w:left="0"/>
              <w:rPr>
                <w:rFonts w:eastAsia="Calibri"/>
                <w:sz w:val="24"/>
                <w:szCs w:val="18"/>
              </w:rPr>
            </w:pPr>
            <w:r w:rsidRPr="000C2E4F">
              <w:rPr>
                <w:color w:val="211D1E"/>
                <w:sz w:val="24"/>
              </w:rPr>
              <w:t>1</w:t>
            </w:r>
          </w:p>
        </w:tc>
        <w:tc>
          <w:tcPr>
            <w:tcW w:w="3005" w:type="dxa"/>
            <w:tcBorders>
              <w:top w:val="nil"/>
              <w:left w:val="nil"/>
              <w:bottom w:val="nil"/>
              <w:right w:val="nil"/>
            </w:tcBorders>
            <w:vAlign w:val="center"/>
          </w:tcPr>
          <w:p w14:paraId="19AACD0F" w14:textId="7F3B9D8F" w:rsidR="00521D07" w:rsidRDefault="00521D07" w:rsidP="00521D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1547DF">
              <w:t>161</w:t>
            </w:r>
          </w:p>
        </w:tc>
      </w:tr>
      <w:tr w:rsidR="00521D07" w14:paraId="0C1D1BD6" w14:textId="77777777" w:rsidTr="00521D07">
        <w:trPr>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left w:val="nil"/>
              <w:bottom w:val="nil"/>
              <w:right w:val="nil"/>
            </w:tcBorders>
            <w:vAlign w:val="center"/>
          </w:tcPr>
          <w:p w14:paraId="52C6FE34" w14:textId="77777777" w:rsidR="00521D07" w:rsidRDefault="00521D07" w:rsidP="00521D07">
            <w:pPr>
              <w:pStyle w:val="ListParagraph"/>
              <w:widowControl w:val="0"/>
              <w:autoSpaceDE w:val="0"/>
              <w:autoSpaceDN w:val="0"/>
              <w:adjustRightInd w:val="0"/>
              <w:spacing w:before="60"/>
              <w:ind w:left="0"/>
              <w:rPr>
                <w:rFonts w:eastAsia="Calibri"/>
                <w:sz w:val="24"/>
                <w:szCs w:val="18"/>
              </w:rPr>
            </w:pPr>
            <w:r w:rsidRPr="000C2E4F">
              <w:rPr>
                <w:color w:val="211D1E"/>
                <w:sz w:val="24"/>
              </w:rPr>
              <w:t>2</w:t>
            </w:r>
          </w:p>
        </w:tc>
        <w:tc>
          <w:tcPr>
            <w:tcW w:w="3005" w:type="dxa"/>
            <w:tcBorders>
              <w:top w:val="nil"/>
              <w:left w:val="nil"/>
              <w:bottom w:val="nil"/>
              <w:right w:val="nil"/>
            </w:tcBorders>
            <w:vAlign w:val="center"/>
          </w:tcPr>
          <w:p w14:paraId="3712FE83" w14:textId="1F5D9C62" w:rsidR="00521D07" w:rsidRDefault="00521D07" w:rsidP="00521D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1547DF">
              <w:t>178</w:t>
            </w:r>
          </w:p>
        </w:tc>
      </w:tr>
      <w:tr w:rsidR="00521D07" w14:paraId="533D5D7C" w14:textId="77777777" w:rsidTr="00521D07">
        <w:trPr>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left w:val="nil"/>
              <w:bottom w:val="nil"/>
              <w:right w:val="nil"/>
            </w:tcBorders>
            <w:vAlign w:val="center"/>
          </w:tcPr>
          <w:p w14:paraId="53C19EDB" w14:textId="77777777" w:rsidR="00521D07" w:rsidRDefault="00521D07" w:rsidP="00521D07">
            <w:pPr>
              <w:pStyle w:val="ListParagraph"/>
              <w:widowControl w:val="0"/>
              <w:autoSpaceDE w:val="0"/>
              <w:autoSpaceDN w:val="0"/>
              <w:adjustRightInd w:val="0"/>
              <w:spacing w:before="60"/>
              <w:ind w:left="0"/>
              <w:rPr>
                <w:rFonts w:eastAsia="Calibri"/>
                <w:sz w:val="24"/>
                <w:szCs w:val="18"/>
              </w:rPr>
            </w:pPr>
            <w:r w:rsidRPr="000C2E4F">
              <w:rPr>
                <w:color w:val="211D1E"/>
                <w:sz w:val="24"/>
              </w:rPr>
              <w:t>3</w:t>
            </w:r>
          </w:p>
        </w:tc>
        <w:tc>
          <w:tcPr>
            <w:tcW w:w="3005" w:type="dxa"/>
            <w:tcBorders>
              <w:top w:val="nil"/>
              <w:left w:val="nil"/>
              <w:bottom w:val="nil"/>
              <w:right w:val="nil"/>
            </w:tcBorders>
            <w:vAlign w:val="center"/>
          </w:tcPr>
          <w:p w14:paraId="45F827A7" w14:textId="25D61EA3" w:rsidR="00521D07" w:rsidRDefault="00521D07" w:rsidP="00521D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1547DF">
              <w:t>199</w:t>
            </w:r>
          </w:p>
        </w:tc>
      </w:tr>
      <w:tr w:rsidR="00521D07" w14:paraId="2C408915" w14:textId="77777777" w:rsidTr="00521D07">
        <w:trPr>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left w:val="nil"/>
              <w:bottom w:val="single" w:sz="6" w:space="0" w:color="auto"/>
              <w:right w:val="nil"/>
            </w:tcBorders>
            <w:vAlign w:val="center"/>
          </w:tcPr>
          <w:p w14:paraId="74384ED0" w14:textId="77777777" w:rsidR="00521D07" w:rsidRDefault="00521D07" w:rsidP="00521D07">
            <w:pPr>
              <w:pStyle w:val="ListParagraph"/>
              <w:widowControl w:val="0"/>
              <w:autoSpaceDE w:val="0"/>
              <w:autoSpaceDN w:val="0"/>
              <w:adjustRightInd w:val="0"/>
              <w:spacing w:before="60"/>
              <w:ind w:left="0"/>
              <w:rPr>
                <w:rFonts w:eastAsia="Calibri"/>
                <w:sz w:val="24"/>
                <w:szCs w:val="18"/>
              </w:rPr>
            </w:pPr>
            <w:r w:rsidRPr="000C2E4F">
              <w:rPr>
                <w:color w:val="211D1E"/>
                <w:sz w:val="24"/>
              </w:rPr>
              <w:t>4</w:t>
            </w:r>
          </w:p>
        </w:tc>
        <w:tc>
          <w:tcPr>
            <w:tcW w:w="3005" w:type="dxa"/>
            <w:tcBorders>
              <w:top w:val="nil"/>
              <w:left w:val="nil"/>
              <w:bottom w:val="single" w:sz="6" w:space="0" w:color="auto"/>
              <w:right w:val="nil"/>
            </w:tcBorders>
            <w:vAlign w:val="center"/>
          </w:tcPr>
          <w:p w14:paraId="2F346990" w14:textId="2902FF4E" w:rsidR="00521D07" w:rsidRDefault="00521D07" w:rsidP="00521D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1547DF">
              <w:t>145</w:t>
            </w:r>
          </w:p>
        </w:tc>
      </w:tr>
    </w:tbl>
    <w:p w14:paraId="00442372" w14:textId="1B4EB692" w:rsidR="00521D07" w:rsidRDefault="00521D07" w:rsidP="00521D07">
      <w:pPr>
        <w:pStyle w:val="ListParagraph"/>
        <w:widowControl w:val="0"/>
        <w:numPr>
          <w:ilvl w:val="1"/>
          <w:numId w:val="25"/>
        </w:numPr>
        <w:autoSpaceDE w:val="0"/>
        <w:autoSpaceDN w:val="0"/>
        <w:adjustRightInd w:val="0"/>
        <w:spacing w:before="120" w:after="0"/>
        <w:ind w:left="567" w:hanging="283"/>
        <w:jc w:val="both"/>
        <w:rPr>
          <w:sz w:val="24"/>
          <w:szCs w:val="18"/>
        </w:rPr>
      </w:pPr>
      <w:r w:rsidRPr="00521D07">
        <w:rPr>
          <w:sz w:val="24"/>
          <w:szCs w:val="18"/>
        </w:rPr>
        <w:t>The company requires a 12</w:t>
      </w:r>
      <w:r>
        <w:rPr>
          <w:sz w:val="24"/>
          <w:szCs w:val="18"/>
        </w:rPr>
        <w:t xml:space="preserve">% </w:t>
      </w:r>
      <w:r w:rsidRPr="00521D07">
        <w:rPr>
          <w:sz w:val="24"/>
          <w:szCs w:val="18"/>
        </w:rPr>
        <w:t>return on its investments. Using the NPV decision rule, should it accept this project? Why?</w:t>
      </w:r>
    </w:p>
    <w:p w14:paraId="16C64FD0" w14:textId="7C0A0A99" w:rsidR="00937AB6" w:rsidRDefault="00937AB6" w:rsidP="00937AB6">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The net present value of this project is:</w:t>
      </w:r>
    </w:p>
    <w:p w14:paraId="50F0ADE9" w14:textId="5340AD17" w:rsidR="00937AB6" w:rsidRPr="00B671CD" w:rsidRDefault="00937AB6" w:rsidP="00937AB6">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NP</m:t>
          </m:r>
          <m:sSub>
            <m:sSubPr>
              <m:ctrlPr>
                <w:rPr>
                  <w:rFonts w:ascii="Cambria Math" w:eastAsia="Calibri" w:hAnsi="Cambria Math"/>
                  <w:i/>
                  <w:color w:val="4472C4" w:themeColor="accent1"/>
                  <w:sz w:val="24"/>
                  <w:szCs w:val="18"/>
                </w:rPr>
              </m:ctrlPr>
            </m:sSubPr>
            <m:e>
              <m:r>
                <w:rPr>
                  <w:rFonts w:ascii="Cambria Math" w:eastAsia="Calibri" w:hAnsi="Cambria Math"/>
                  <w:color w:val="4472C4" w:themeColor="accent1"/>
                  <w:sz w:val="24"/>
                  <w:szCs w:val="18"/>
                </w:rPr>
                <m:t>V</m:t>
              </m:r>
            </m:e>
            <m:sub>
              <m:r>
                <w:rPr>
                  <w:rFonts w:ascii="Cambria Math" w:eastAsia="Calibri" w:hAnsi="Cambria Math"/>
                  <w:color w:val="4472C4" w:themeColor="accent1"/>
                  <w:sz w:val="24"/>
                  <w:szCs w:val="18"/>
                </w:rPr>
                <m:t>A</m:t>
              </m:r>
            </m:sub>
          </m:sSub>
          <m:r>
            <w:rPr>
              <w:rFonts w:ascii="Cambria Math" w:eastAsia="Calibri" w:hAnsi="Cambria Math"/>
              <w:color w:val="4472C4" w:themeColor="accent1"/>
              <w:sz w:val="24"/>
              <w:szCs w:val="18"/>
            </w:rPr>
            <m:t>=-470+161×</m:t>
          </m:r>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1+12%</m:t>
                  </m:r>
                </m:e>
              </m:d>
            </m:e>
            <m:sup>
              <m:r>
                <w:rPr>
                  <w:rFonts w:ascii="Cambria Math" w:eastAsia="Calibri" w:hAnsi="Cambria Math"/>
                  <w:color w:val="4472C4" w:themeColor="accent1"/>
                  <w:sz w:val="24"/>
                  <w:szCs w:val="18"/>
                </w:rPr>
                <m:t>-1</m:t>
              </m:r>
            </m:sup>
          </m:sSup>
          <m:r>
            <w:rPr>
              <w:rFonts w:ascii="Cambria Math" w:eastAsia="Calibri" w:hAnsi="Cambria Math"/>
              <w:color w:val="4472C4" w:themeColor="accent1"/>
              <w:sz w:val="24"/>
              <w:szCs w:val="18"/>
            </w:rPr>
            <m:t>+178×</m:t>
          </m:r>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1+12%</m:t>
                  </m:r>
                </m:e>
              </m:d>
            </m:e>
            <m:sup>
              <m:r>
                <w:rPr>
                  <w:rFonts w:ascii="Cambria Math" w:eastAsia="Calibri" w:hAnsi="Cambria Math"/>
                  <w:color w:val="4472C4" w:themeColor="accent1"/>
                  <w:sz w:val="24"/>
                  <w:szCs w:val="18"/>
                </w:rPr>
                <m:t>-2</m:t>
              </m:r>
            </m:sup>
          </m:sSup>
        </m:oMath>
      </m:oMathPara>
    </w:p>
    <w:p w14:paraId="3C4CAB32" w14:textId="26A7F16C" w:rsidR="00937AB6" w:rsidRDefault="00937AB6" w:rsidP="00937AB6">
      <w:pPr>
        <w:pStyle w:val="ListParagraph"/>
        <w:widowControl w:val="0"/>
        <w:autoSpaceDE w:val="0"/>
        <w:autoSpaceDN w:val="0"/>
        <w:adjustRightInd w:val="0"/>
        <w:spacing w:before="60"/>
        <w:ind w:left="851"/>
        <w:jc w:val="both"/>
        <w:rPr>
          <w:rFonts w:eastAsia="Calibri"/>
          <w:color w:val="4472C4" w:themeColor="accent1"/>
          <w:sz w:val="24"/>
          <w:szCs w:val="18"/>
        </w:rPr>
      </w:pPr>
      <m:oMath>
        <m:r>
          <w:rPr>
            <w:rFonts w:ascii="Cambria Math" w:eastAsia="Calibri" w:hAnsi="Cambria Math"/>
            <w:color w:val="4472C4" w:themeColor="accent1"/>
            <w:sz w:val="24"/>
            <w:szCs w:val="18"/>
          </w:rPr>
          <m:t>+199×</m:t>
        </m:r>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1+12%</m:t>
                </m:r>
              </m:e>
            </m:d>
          </m:e>
          <m:sup>
            <m:r>
              <w:rPr>
                <w:rFonts w:ascii="Cambria Math" w:eastAsia="Calibri" w:hAnsi="Cambria Math"/>
                <w:color w:val="4472C4" w:themeColor="accent1"/>
                <w:sz w:val="24"/>
                <w:szCs w:val="18"/>
              </w:rPr>
              <m:t>-3</m:t>
            </m:r>
          </m:sup>
        </m:sSup>
        <m:r>
          <w:rPr>
            <w:rFonts w:ascii="Cambria Math" w:eastAsia="Calibri" w:hAnsi="Cambria Math"/>
            <w:color w:val="4472C4" w:themeColor="accent1"/>
            <w:sz w:val="24"/>
            <w:szCs w:val="18"/>
          </w:rPr>
          <m:t>+145×</m:t>
        </m:r>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1+12%</m:t>
                </m:r>
              </m:e>
            </m:d>
          </m:e>
          <m:sup>
            <m:r>
              <w:rPr>
                <w:rFonts w:ascii="Cambria Math" w:eastAsia="Calibri" w:hAnsi="Cambria Math"/>
                <w:color w:val="4472C4" w:themeColor="accent1"/>
                <w:sz w:val="24"/>
                <w:szCs w:val="18"/>
              </w:rPr>
              <m:t>-4</m:t>
            </m:r>
          </m:sup>
        </m:sSup>
        <m:r>
          <w:rPr>
            <w:rFonts w:ascii="Cambria Math" w:eastAsia="Calibri" w:hAnsi="Cambria Math"/>
            <w:color w:val="4472C4" w:themeColor="accent1"/>
            <w:sz w:val="24"/>
            <w:szCs w:val="18"/>
          </w:rPr>
          <m:t>=$49.44</m:t>
        </m:r>
        <m:r>
          <m:rPr>
            <m:sty m:val="p"/>
          </m:rPr>
          <w:rPr>
            <w:rFonts w:ascii="Cambria Math" w:eastAsia="Calibri" w:hAnsi="Cambria Math"/>
            <w:color w:val="4472C4" w:themeColor="accent1"/>
            <w:sz w:val="24"/>
            <w:szCs w:val="18"/>
          </w:rPr>
          <m:t>m</m:t>
        </m:r>
      </m:oMath>
      <w:r>
        <w:rPr>
          <w:rFonts w:eastAsia="Calibri"/>
          <w:color w:val="4472C4" w:themeColor="accent1"/>
          <w:sz w:val="24"/>
          <w:szCs w:val="18"/>
        </w:rPr>
        <w:t xml:space="preserve"> </w:t>
      </w:r>
    </w:p>
    <w:p w14:paraId="35BECE77" w14:textId="5CF92A37" w:rsidR="00937AB6" w:rsidRPr="00937AB6" w:rsidRDefault="00937AB6" w:rsidP="00937AB6">
      <w:pPr>
        <w:widowControl w:val="0"/>
        <w:autoSpaceDE w:val="0"/>
        <w:autoSpaceDN w:val="0"/>
        <w:adjustRightInd w:val="0"/>
        <w:spacing w:before="120" w:after="0"/>
        <w:ind w:left="284"/>
        <w:jc w:val="both"/>
        <w:rPr>
          <w:color w:val="4472C4" w:themeColor="accent1"/>
          <w:sz w:val="24"/>
          <w:szCs w:val="18"/>
        </w:rPr>
      </w:pPr>
      <w:r w:rsidRPr="00937AB6">
        <w:rPr>
          <w:color w:val="4472C4" w:themeColor="accent1"/>
          <w:sz w:val="24"/>
          <w:szCs w:val="18"/>
        </w:rPr>
        <w:t xml:space="preserve">This </w:t>
      </w:r>
      <w:r>
        <w:rPr>
          <w:color w:val="4472C4" w:themeColor="accent1"/>
          <w:sz w:val="24"/>
          <w:szCs w:val="18"/>
        </w:rPr>
        <w:t>project has a positive NPV, i.e. it generates cash flows higher than its initial cost. This means that the project is profitable.</w:t>
      </w:r>
    </w:p>
    <w:p w14:paraId="6F5C0CFA" w14:textId="1024AABE" w:rsidR="001114D1" w:rsidRDefault="00521D07" w:rsidP="00521D07">
      <w:pPr>
        <w:pStyle w:val="ListParagraph"/>
        <w:widowControl w:val="0"/>
        <w:numPr>
          <w:ilvl w:val="1"/>
          <w:numId w:val="25"/>
        </w:numPr>
        <w:autoSpaceDE w:val="0"/>
        <w:autoSpaceDN w:val="0"/>
        <w:adjustRightInd w:val="0"/>
        <w:spacing w:before="120" w:after="0"/>
        <w:ind w:left="567" w:hanging="283"/>
        <w:jc w:val="both"/>
        <w:rPr>
          <w:rFonts w:eastAsia="Calibri"/>
          <w:sz w:val="24"/>
          <w:szCs w:val="18"/>
        </w:rPr>
      </w:pPr>
      <w:r w:rsidRPr="000C2E4F">
        <w:rPr>
          <w:sz w:val="24"/>
          <w:szCs w:val="18"/>
        </w:rPr>
        <w:t>Compute the IRR for this project.</w:t>
      </w:r>
    </w:p>
    <w:p w14:paraId="52663A7C" w14:textId="755C976F" w:rsidR="0098388A" w:rsidRDefault="00937AB6" w:rsidP="00FC0D6B">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 xml:space="preserve">The IRR is the discount rate at which the NPV is equal to zero. </w:t>
      </w:r>
    </w:p>
    <w:p w14:paraId="67699B90" w14:textId="77777777" w:rsidR="00937AB6" w:rsidRPr="00937AB6" w:rsidRDefault="00937AB6" w:rsidP="00937AB6">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-470+161×</m:t>
          </m:r>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1+IRR%</m:t>
                  </m:r>
                </m:e>
              </m:d>
            </m:e>
            <m:sup>
              <m:r>
                <w:rPr>
                  <w:rFonts w:ascii="Cambria Math" w:eastAsia="Calibri" w:hAnsi="Cambria Math"/>
                  <w:color w:val="4472C4" w:themeColor="accent1"/>
                  <w:sz w:val="24"/>
                  <w:szCs w:val="18"/>
                </w:rPr>
                <m:t>-1</m:t>
              </m:r>
            </m:sup>
          </m:sSup>
          <m:r>
            <w:rPr>
              <w:rFonts w:ascii="Cambria Math" w:eastAsia="Calibri" w:hAnsi="Cambria Math"/>
              <w:color w:val="4472C4" w:themeColor="accent1"/>
              <w:sz w:val="24"/>
              <w:szCs w:val="18"/>
            </w:rPr>
            <m:t>+178×</m:t>
          </m:r>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1+IRR%</m:t>
                  </m:r>
                </m:e>
              </m:d>
            </m:e>
            <m:sup>
              <m:r>
                <w:rPr>
                  <w:rFonts w:ascii="Cambria Math" w:eastAsia="Calibri" w:hAnsi="Cambria Math"/>
                  <w:color w:val="4472C4" w:themeColor="accent1"/>
                  <w:sz w:val="24"/>
                  <w:szCs w:val="18"/>
                </w:rPr>
                <m:t>-2</m:t>
              </m:r>
            </m:sup>
          </m:sSup>
          <m:r>
            <w:rPr>
              <w:rFonts w:ascii="Cambria Math" w:eastAsia="Calibri" w:hAnsi="Cambria Math"/>
              <w:color w:val="4472C4" w:themeColor="accent1"/>
              <w:sz w:val="24"/>
              <w:szCs w:val="18"/>
            </w:rPr>
            <m:t>+199×</m:t>
          </m:r>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1+IRR%</m:t>
                  </m:r>
                </m:e>
              </m:d>
            </m:e>
            <m:sup>
              <m:r>
                <w:rPr>
                  <w:rFonts w:ascii="Cambria Math" w:eastAsia="Calibri" w:hAnsi="Cambria Math"/>
                  <w:color w:val="4472C4" w:themeColor="accent1"/>
                  <w:sz w:val="24"/>
                  <w:szCs w:val="18"/>
                </w:rPr>
                <m:t>-3</m:t>
              </m:r>
            </m:sup>
          </m:sSup>
        </m:oMath>
      </m:oMathPara>
    </w:p>
    <w:p w14:paraId="7C2A8325" w14:textId="28D02167" w:rsidR="00937AB6" w:rsidRPr="00937AB6" w:rsidRDefault="00937AB6" w:rsidP="00937AB6">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+145×</m:t>
          </m:r>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1+IRR%</m:t>
                  </m:r>
                </m:e>
              </m:d>
            </m:e>
            <m:sup>
              <m:r>
                <w:rPr>
                  <w:rFonts w:ascii="Cambria Math" w:eastAsia="Calibri" w:hAnsi="Cambria Math"/>
                  <w:color w:val="4472C4" w:themeColor="accent1"/>
                  <w:sz w:val="24"/>
                  <w:szCs w:val="18"/>
                </w:rPr>
                <m:t>-4</m:t>
              </m:r>
            </m:sup>
          </m:sSup>
          <m:r>
            <w:rPr>
              <w:rFonts w:ascii="Cambria Math" w:eastAsia="Calibri" w:hAnsi="Cambria Math"/>
              <w:color w:val="4472C4" w:themeColor="accent1"/>
              <w:sz w:val="24"/>
              <w:szCs w:val="18"/>
            </w:rPr>
            <m:t>=0</m:t>
          </m:r>
        </m:oMath>
      </m:oMathPara>
    </w:p>
    <w:p w14:paraId="539E27AF" w14:textId="75655869" w:rsidR="00937AB6" w:rsidRDefault="00937AB6" w:rsidP="00937AB6">
      <w:pPr>
        <w:pStyle w:val="ListParagraph"/>
        <w:widowControl w:val="0"/>
        <w:autoSpaceDE w:val="0"/>
        <w:autoSpaceDN w:val="0"/>
        <w:adjustRightInd w:val="0"/>
        <w:spacing w:before="60"/>
        <w:ind w:left="284"/>
        <w:jc w:val="both"/>
        <w:rPr>
          <w:rFonts w:eastAsia="Calibri"/>
          <w:color w:val="4472C4" w:themeColor="accent1"/>
          <w:sz w:val="24"/>
          <w:szCs w:val="18"/>
        </w:rPr>
      </w:pPr>
    </w:p>
    <w:p w14:paraId="6A8F8C85" w14:textId="77777777" w:rsidR="00937AB6" w:rsidRDefault="00937AB6" w:rsidP="00937AB6">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 xml:space="preserve">With a discount rate of 12%, the NPV is still positive. Therefore, </w:t>
      </w:r>
      <m:oMath>
        <m:r>
          <w:rPr>
            <w:rFonts w:ascii="Cambria Math" w:eastAsia="Calibri" w:hAnsi="Cambria Math"/>
            <w:color w:val="4472C4" w:themeColor="accent1"/>
            <w:sz w:val="24"/>
            <w:szCs w:val="18"/>
          </w:rPr>
          <m:t>12%&lt;IRR</m:t>
        </m:r>
      </m:oMath>
      <w:r>
        <w:rPr>
          <w:rFonts w:eastAsia="Calibri"/>
          <w:color w:val="4472C4" w:themeColor="accent1"/>
          <w:sz w:val="24"/>
          <w:szCs w:val="18"/>
        </w:rPr>
        <w:t xml:space="preserve">. </w:t>
      </w:r>
    </w:p>
    <w:p w14:paraId="5559EFD9" w14:textId="6686F2C2" w:rsidR="00937AB6" w:rsidRDefault="00937AB6" w:rsidP="00937AB6">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 xml:space="preserve">Using linear interpolation, we can estimate the IRR. </w:t>
      </w:r>
    </w:p>
    <w:p w14:paraId="4BFDAD4E" w14:textId="37FBABBB" w:rsidR="00937AB6" w:rsidRDefault="00937AB6" w:rsidP="00937AB6">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 xml:space="preserve">Let’s consider a rate of 24%. The NPV at a 24% </w:t>
      </w:r>
      <w:r w:rsidR="004266EA">
        <w:rPr>
          <w:rFonts w:eastAsia="Calibri"/>
          <w:color w:val="4472C4" w:themeColor="accent1"/>
          <w:sz w:val="24"/>
          <w:szCs w:val="18"/>
        </w:rPr>
        <w:t>discount rate is:</w:t>
      </w:r>
    </w:p>
    <w:p w14:paraId="204C58D4" w14:textId="3941E84B" w:rsidR="004266EA" w:rsidRPr="00B671CD" w:rsidRDefault="004266EA" w:rsidP="004266EA">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NP</m:t>
          </m:r>
          <m:sSub>
            <m:sSubPr>
              <m:ctrlPr>
                <w:rPr>
                  <w:rFonts w:ascii="Cambria Math" w:eastAsia="Calibri" w:hAnsi="Cambria Math"/>
                  <w:i/>
                  <w:color w:val="4472C4" w:themeColor="accent1"/>
                  <w:sz w:val="24"/>
                  <w:szCs w:val="18"/>
                </w:rPr>
              </m:ctrlPr>
            </m:sSubPr>
            <m:e>
              <m:r>
                <w:rPr>
                  <w:rFonts w:ascii="Cambria Math" w:eastAsia="Calibri" w:hAnsi="Cambria Math"/>
                  <w:color w:val="4472C4" w:themeColor="accent1"/>
                  <w:sz w:val="24"/>
                  <w:szCs w:val="18"/>
                </w:rPr>
                <m:t>V</m:t>
              </m:r>
            </m:e>
            <m:sub>
              <m:r>
                <w:rPr>
                  <w:rFonts w:ascii="Cambria Math" w:eastAsia="Calibri" w:hAnsi="Cambria Math"/>
                  <w:color w:val="4472C4" w:themeColor="accent1"/>
                  <w:sz w:val="24"/>
                  <w:szCs w:val="18"/>
                </w:rPr>
                <m:t>A</m:t>
              </m:r>
            </m:sub>
          </m:sSub>
          <m:r>
            <w:rPr>
              <w:rFonts w:ascii="Cambria Math" w:eastAsia="Calibri" w:hAnsi="Cambria Math"/>
              <w:color w:val="4472C4" w:themeColor="accent1"/>
              <w:sz w:val="24"/>
              <w:szCs w:val="18"/>
            </w:rPr>
            <m:t>=-470+161×</m:t>
          </m:r>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1+24%</m:t>
                  </m:r>
                </m:e>
              </m:d>
            </m:e>
            <m:sup>
              <m:r>
                <w:rPr>
                  <w:rFonts w:ascii="Cambria Math" w:eastAsia="Calibri" w:hAnsi="Cambria Math"/>
                  <w:color w:val="4472C4" w:themeColor="accent1"/>
                  <w:sz w:val="24"/>
                  <w:szCs w:val="18"/>
                </w:rPr>
                <m:t>-1</m:t>
              </m:r>
            </m:sup>
          </m:sSup>
          <m:r>
            <w:rPr>
              <w:rFonts w:ascii="Cambria Math" w:eastAsia="Calibri" w:hAnsi="Cambria Math"/>
              <w:color w:val="4472C4" w:themeColor="accent1"/>
              <w:sz w:val="24"/>
              <w:szCs w:val="18"/>
            </w:rPr>
            <m:t>+178×</m:t>
          </m:r>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1+24%</m:t>
                  </m:r>
                </m:e>
              </m:d>
            </m:e>
            <m:sup>
              <m:r>
                <w:rPr>
                  <w:rFonts w:ascii="Cambria Math" w:eastAsia="Calibri" w:hAnsi="Cambria Math"/>
                  <w:color w:val="4472C4" w:themeColor="accent1"/>
                  <w:sz w:val="24"/>
                  <w:szCs w:val="18"/>
                </w:rPr>
                <m:t>-2</m:t>
              </m:r>
            </m:sup>
          </m:sSup>
        </m:oMath>
      </m:oMathPara>
    </w:p>
    <w:p w14:paraId="2BF8724B" w14:textId="638565AB" w:rsidR="004266EA" w:rsidRDefault="004266EA" w:rsidP="004266EA">
      <w:pPr>
        <w:pStyle w:val="ListParagraph"/>
        <w:widowControl w:val="0"/>
        <w:autoSpaceDE w:val="0"/>
        <w:autoSpaceDN w:val="0"/>
        <w:adjustRightInd w:val="0"/>
        <w:spacing w:before="60"/>
        <w:ind w:left="851"/>
        <w:jc w:val="both"/>
        <w:rPr>
          <w:rFonts w:eastAsia="Calibri"/>
          <w:color w:val="4472C4" w:themeColor="accent1"/>
          <w:sz w:val="24"/>
          <w:szCs w:val="18"/>
        </w:rPr>
      </w:pPr>
      <m:oMath>
        <m:r>
          <w:rPr>
            <w:rFonts w:ascii="Cambria Math" w:eastAsia="Calibri" w:hAnsi="Cambria Math"/>
            <w:color w:val="4472C4" w:themeColor="accent1"/>
            <w:sz w:val="24"/>
            <w:szCs w:val="18"/>
          </w:rPr>
          <m:t>+199×</m:t>
        </m:r>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1+24%</m:t>
                </m:r>
              </m:e>
            </m:d>
          </m:e>
          <m:sup>
            <m:r>
              <w:rPr>
                <w:rFonts w:ascii="Cambria Math" w:eastAsia="Calibri" w:hAnsi="Cambria Math"/>
                <w:color w:val="4472C4" w:themeColor="accent1"/>
                <w:sz w:val="24"/>
                <w:szCs w:val="18"/>
              </w:rPr>
              <m:t>-3</m:t>
            </m:r>
          </m:sup>
        </m:sSup>
        <m:r>
          <w:rPr>
            <w:rFonts w:ascii="Cambria Math" w:eastAsia="Calibri" w:hAnsi="Cambria Math"/>
            <w:color w:val="4472C4" w:themeColor="accent1"/>
            <w:sz w:val="24"/>
            <w:szCs w:val="18"/>
          </w:rPr>
          <m:t>+145×</m:t>
        </m:r>
        <m:sSup>
          <m:sSupPr>
            <m:ctrlPr>
              <w:rPr>
                <w:rFonts w:ascii="Cambria Math" w:eastAsia="Calibri" w:hAnsi="Cambria Math"/>
                <w:i/>
                <w:color w:val="4472C4" w:themeColor="accent1"/>
                <w:sz w:val="24"/>
                <w:szCs w:val="18"/>
              </w:rPr>
            </m:ctrlPr>
          </m:sSupPr>
          <m:e>
            <m:d>
              <m:dPr>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1+24%</m:t>
                </m:r>
              </m:e>
            </m:d>
          </m:e>
          <m:sup>
            <m:r>
              <w:rPr>
                <w:rFonts w:ascii="Cambria Math" w:eastAsia="Calibri" w:hAnsi="Cambria Math"/>
                <w:color w:val="4472C4" w:themeColor="accent1"/>
                <w:sz w:val="24"/>
                <w:szCs w:val="18"/>
              </w:rPr>
              <m:t>-4</m:t>
            </m:r>
          </m:sup>
        </m:sSup>
        <m:r>
          <w:rPr>
            <w:rFonts w:ascii="Cambria Math" w:eastAsia="Calibri" w:hAnsi="Cambria Math"/>
            <w:color w:val="4472C4" w:themeColor="accent1"/>
            <w:sz w:val="24"/>
            <w:szCs w:val="18"/>
          </w:rPr>
          <m:t>=-$58.69</m:t>
        </m:r>
        <m:r>
          <m:rPr>
            <m:sty m:val="p"/>
          </m:rPr>
          <w:rPr>
            <w:rFonts w:ascii="Cambria Math" w:eastAsia="Calibri" w:hAnsi="Cambria Math"/>
            <w:color w:val="4472C4" w:themeColor="accent1"/>
            <w:sz w:val="24"/>
            <w:szCs w:val="18"/>
          </w:rPr>
          <m:t>m</m:t>
        </m:r>
      </m:oMath>
      <w:r>
        <w:rPr>
          <w:rFonts w:eastAsia="Calibri"/>
          <w:color w:val="4472C4" w:themeColor="accent1"/>
          <w:sz w:val="24"/>
          <w:szCs w:val="18"/>
        </w:rPr>
        <w:t xml:space="preserve"> </w:t>
      </w:r>
    </w:p>
    <w:p w14:paraId="4CF7EAC4" w14:textId="0F9A3AB3" w:rsidR="004266EA" w:rsidRDefault="004266EA" w:rsidP="00937AB6">
      <w:pPr>
        <w:pStyle w:val="ListParagraph"/>
        <w:widowControl w:val="0"/>
        <w:autoSpaceDE w:val="0"/>
        <w:autoSpaceDN w:val="0"/>
        <w:adjustRightInd w:val="0"/>
        <w:spacing w:before="60"/>
        <w:ind w:left="284"/>
        <w:jc w:val="both"/>
        <w:rPr>
          <w:rFonts w:eastAsia="Calibri"/>
          <w:color w:val="4472C4" w:themeColor="accent1"/>
          <w:sz w:val="24"/>
          <w:szCs w:val="18"/>
        </w:rPr>
      </w:pPr>
    </w:p>
    <w:p w14:paraId="22B79344" w14:textId="3AA71551" w:rsidR="004266EA" w:rsidRDefault="004266EA" w:rsidP="00937AB6">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We now have a positive NPV at 12% and a negative NPV at 24%. This means that there must be a rate IRR between 12% and 24% that makes NPV equal to 0. Using linear interpolation, we have:</w:t>
      </w:r>
    </w:p>
    <w:p w14:paraId="2ACA95E2" w14:textId="59927ADB" w:rsidR="004266EA" w:rsidRPr="004266EA" w:rsidRDefault="008F71D5" w:rsidP="00937AB6">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f>
            <m:fPr>
              <m:ctrlPr>
                <w:rPr>
                  <w:rFonts w:ascii="Cambria Math" w:eastAsia="Calibri" w:hAnsi="Cambria Math"/>
                  <w:i/>
                  <w:color w:val="4472C4" w:themeColor="accent1"/>
                  <w:sz w:val="24"/>
                  <w:szCs w:val="18"/>
                </w:rPr>
              </m:ctrlPr>
            </m:fPr>
            <m:num>
              <m:r>
                <w:rPr>
                  <w:rFonts w:ascii="Cambria Math" w:eastAsia="Calibri" w:hAnsi="Cambria Math"/>
                  <w:color w:val="4472C4" w:themeColor="accent1"/>
                  <w:sz w:val="24"/>
                  <w:szCs w:val="18"/>
                </w:rPr>
                <m:t>0-49.44</m:t>
              </m:r>
            </m:num>
            <m:den>
              <m:r>
                <w:rPr>
                  <w:rFonts w:ascii="Cambria Math" w:eastAsia="Calibri" w:hAnsi="Cambria Math"/>
                  <w:color w:val="4472C4" w:themeColor="accent1"/>
                  <w:sz w:val="24"/>
                  <w:szCs w:val="18"/>
                </w:rPr>
                <m:t>-58.69-49.44</m:t>
              </m:r>
            </m:den>
          </m:f>
          <m:r>
            <w:rPr>
              <w:rFonts w:ascii="Cambria Math" w:eastAsia="Calibri" w:hAnsi="Cambria Math"/>
              <w:color w:val="4472C4" w:themeColor="accent1"/>
              <w:sz w:val="24"/>
              <w:szCs w:val="18"/>
            </w:rPr>
            <m:t>=</m:t>
          </m:r>
          <m:f>
            <m:fPr>
              <m:ctrlPr>
                <w:rPr>
                  <w:rFonts w:ascii="Cambria Math" w:eastAsia="Calibri" w:hAnsi="Cambria Math"/>
                  <w:i/>
                  <w:color w:val="4472C4" w:themeColor="accent1"/>
                  <w:sz w:val="24"/>
                  <w:szCs w:val="18"/>
                </w:rPr>
              </m:ctrlPr>
            </m:fPr>
            <m:num>
              <m:r>
                <w:rPr>
                  <w:rFonts w:ascii="Cambria Math" w:eastAsia="Calibri" w:hAnsi="Cambria Math"/>
                  <w:color w:val="4472C4" w:themeColor="accent1"/>
                  <w:sz w:val="24"/>
                  <w:szCs w:val="18"/>
                </w:rPr>
                <m:t>IRR-12%</m:t>
              </m:r>
            </m:num>
            <m:den>
              <m:r>
                <w:rPr>
                  <w:rFonts w:ascii="Cambria Math" w:eastAsia="Calibri" w:hAnsi="Cambria Math"/>
                  <w:color w:val="4472C4" w:themeColor="accent1"/>
                  <w:sz w:val="24"/>
                  <w:szCs w:val="18"/>
                </w:rPr>
                <m:t>24%-12%</m:t>
              </m:r>
            </m:den>
          </m:f>
        </m:oMath>
      </m:oMathPara>
    </w:p>
    <w:p w14:paraId="1A88CAE1" w14:textId="5D5E8240" w:rsidR="004266EA" w:rsidRPr="004266EA" w:rsidRDefault="004266EA" w:rsidP="004266EA">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⇔0.46=</m:t>
          </m:r>
          <m:f>
            <m:fPr>
              <m:ctrlPr>
                <w:rPr>
                  <w:rFonts w:ascii="Cambria Math" w:eastAsia="Calibri" w:hAnsi="Cambria Math"/>
                  <w:i/>
                  <w:color w:val="4472C4" w:themeColor="accent1"/>
                  <w:sz w:val="24"/>
                  <w:szCs w:val="18"/>
                </w:rPr>
              </m:ctrlPr>
            </m:fPr>
            <m:num>
              <m:r>
                <w:rPr>
                  <w:rFonts w:ascii="Cambria Math" w:eastAsia="Calibri" w:hAnsi="Cambria Math"/>
                  <w:color w:val="4472C4" w:themeColor="accent1"/>
                  <w:sz w:val="24"/>
                  <w:szCs w:val="18"/>
                </w:rPr>
                <m:t>IRR-12%</m:t>
              </m:r>
            </m:num>
            <m:den>
              <m:r>
                <w:rPr>
                  <w:rFonts w:ascii="Cambria Math" w:eastAsia="Calibri" w:hAnsi="Cambria Math"/>
                  <w:color w:val="4472C4" w:themeColor="accent1"/>
                  <w:sz w:val="24"/>
                  <w:szCs w:val="18"/>
                </w:rPr>
                <m:t>12%</m:t>
              </m:r>
            </m:den>
          </m:f>
        </m:oMath>
      </m:oMathPara>
    </w:p>
    <w:p w14:paraId="71A32E51" w14:textId="76DFB4CB" w:rsidR="004266EA" w:rsidRPr="004266EA" w:rsidRDefault="004266EA" w:rsidP="004266EA">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⇔IRR-12%=12%×0.46</m:t>
          </m:r>
        </m:oMath>
      </m:oMathPara>
    </w:p>
    <w:p w14:paraId="33E7DCC7" w14:textId="137A63C9" w:rsidR="004266EA" w:rsidRPr="004266EA" w:rsidRDefault="004266EA" w:rsidP="004266EA">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⇔IRR=12%+12%×0.46=17.52%</m:t>
          </m:r>
        </m:oMath>
      </m:oMathPara>
    </w:p>
    <w:p w14:paraId="4B9C4661" w14:textId="2A56AAEA" w:rsidR="004266EA" w:rsidRDefault="004266EA" w:rsidP="00937AB6">
      <w:pPr>
        <w:pStyle w:val="ListParagraph"/>
        <w:widowControl w:val="0"/>
        <w:autoSpaceDE w:val="0"/>
        <w:autoSpaceDN w:val="0"/>
        <w:adjustRightInd w:val="0"/>
        <w:spacing w:before="60"/>
        <w:ind w:left="284"/>
        <w:jc w:val="both"/>
        <w:rPr>
          <w:rFonts w:eastAsia="Calibri"/>
          <w:color w:val="4472C4" w:themeColor="accent1"/>
          <w:sz w:val="24"/>
          <w:szCs w:val="18"/>
        </w:rPr>
      </w:pPr>
    </w:p>
    <w:p w14:paraId="59E7A846" w14:textId="410B0465" w:rsidR="004266EA" w:rsidRDefault="004266EA" w:rsidP="00937AB6">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Since the hurdle (discount) rate is lower than IRR, the project should be accepted.</w:t>
      </w:r>
    </w:p>
    <w:p w14:paraId="146DE3EC" w14:textId="77777777" w:rsidR="00C802CC" w:rsidRPr="00937AB6" w:rsidRDefault="00C802CC" w:rsidP="00937AB6">
      <w:pPr>
        <w:pStyle w:val="ListParagraph"/>
        <w:widowControl w:val="0"/>
        <w:autoSpaceDE w:val="0"/>
        <w:autoSpaceDN w:val="0"/>
        <w:adjustRightInd w:val="0"/>
        <w:spacing w:before="60"/>
        <w:ind w:left="284"/>
        <w:jc w:val="both"/>
        <w:rPr>
          <w:rFonts w:eastAsia="Calibri"/>
          <w:color w:val="4472C4" w:themeColor="accent1"/>
          <w:sz w:val="24"/>
          <w:szCs w:val="18"/>
        </w:rPr>
      </w:pPr>
    </w:p>
    <w:p w14:paraId="632B6E4B" w14:textId="77777777" w:rsidR="00521D07" w:rsidRPr="00521D07" w:rsidRDefault="00521D07" w:rsidP="00521D07">
      <w:pPr>
        <w:pStyle w:val="ListParagraph"/>
        <w:widowControl w:val="0"/>
        <w:numPr>
          <w:ilvl w:val="0"/>
          <w:numId w:val="13"/>
        </w:numPr>
        <w:autoSpaceDE w:val="0"/>
        <w:autoSpaceDN w:val="0"/>
        <w:adjustRightInd w:val="0"/>
        <w:spacing w:before="60"/>
        <w:ind w:left="284" w:hanging="284"/>
        <w:jc w:val="both"/>
        <w:rPr>
          <w:rFonts w:eastAsia="Calibri"/>
          <w:sz w:val="24"/>
          <w:szCs w:val="18"/>
        </w:rPr>
      </w:pPr>
      <w:r>
        <w:rPr>
          <w:rFonts w:eastAsia="Calibri"/>
          <w:b/>
          <w:sz w:val="24"/>
          <w:szCs w:val="18"/>
        </w:rPr>
        <w:t>Decision Criteria</w:t>
      </w:r>
    </w:p>
    <w:p w14:paraId="09BB1979" w14:textId="14BA31B9" w:rsidR="00521D07" w:rsidRPr="00521D07" w:rsidRDefault="00521D07" w:rsidP="00521D07">
      <w:pPr>
        <w:pStyle w:val="ListParagraph"/>
        <w:widowControl w:val="0"/>
        <w:autoSpaceDE w:val="0"/>
        <w:autoSpaceDN w:val="0"/>
        <w:adjustRightInd w:val="0"/>
        <w:spacing w:before="60"/>
        <w:ind w:left="284"/>
        <w:jc w:val="both"/>
        <w:rPr>
          <w:rFonts w:eastAsia="Calibri"/>
          <w:sz w:val="24"/>
          <w:szCs w:val="18"/>
        </w:rPr>
      </w:pPr>
      <w:r w:rsidRPr="00521D07">
        <w:rPr>
          <w:bCs/>
          <w:sz w:val="24"/>
          <w:szCs w:val="18"/>
        </w:rPr>
        <w:t>The following problem is common in the automobile industry.  You are required to assess the viability of two new car lines.  Your company cannot afford to undertake both projects and must choose one only.  The appropriate discount rate is 12</w:t>
      </w:r>
      <w:r w:rsidR="00A70835">
        <w:rPr>
          <w:bCs/>
          <w:sz w:val="24"/>
          <w:szCs w:val="18"/>
        </w:rPr>
        <w:t xml:space="preserve">% </w:t>
      </w:r>
      <w:r w:rsidRPr="00521D07">
        <w:rPr>
          <w:bCs/>
          <w:sz w:val="24"/>
          <w:szCs w:val="18"/>
        </w:rPr>
        <w:t>for this investment. Assume the cash flows occur at the end of the period.</w:t>
      </w:r>
      <w:r w:rsidRPr="00521D07">
        <w:rPr>
          <w:sz w:val="24"/>
          <w:szCs w:val="18"/>
        </w:rPr>
        <w:t xml:space="preserve"> </w:t>
      </w:r>
    </w:p>
    <w:tbl>
      <w:tblPr>
        <w:tblW w:w="0" w:type="auto"/>
        <w:jc w:val="center"/>
        <w:tblLayout w:type="fixed"/>
        <w:tblCellMar>
          <w:left w:w="0" w:type="dxa"/>
          <w:right w:w="0" w:type="dxa"/>
        </w:tblCellMar>
        <w:tblLook w:val="0000" w:firstRow="0" w:lastRow="0" w:firstColumn="0" w:lastColumn="0" w:noHBand="0" w:noVBand="0"/>
      </w:tblPr>
      <w:tblGrid>
        <w:gridCol w:w="846"/>
        <w:gridCol w:w="3260"/>
        <w:gridCol w:w="2410"/>
      </w:tblGrid>
      <w:tr w:rsidR="00521D07" w:rsidRPr="000C2E4F" w14:paraId="6A372531" w14:textId="77777777" w:rsidTr="00521D07">
        <w:trPr>
          <w:jc w:val="center"/>
        </w:trPr>
        <w:tc>
          <w:tcPr>
            <w:tcW w:w="846" w:type="dxa"/>
            <w:tcBorders>
              <w:bottom w:val="single" w:sz="12" w:space="0" w:color="auto"/>
            </w:tcBorders>
          </w:tcPr>
          <w:p w14:paraId="56061F32" w14:textId="25289F43" w:rsidR="00521D07" w:rsidRPr="00521D07" w:rsidRDefault="00BE42F5" w:rsidP="00521D07">
            <w:pPr>
              <w:widowControl w:val="0"/>
              <w:autoSpaceDE w:val="0"/>
              <w:autoSpaceDN w:val="0"/>
              <w:adjustRightInd w:val="0"/>
              <w:spacing w:after="0"/>
              <w:jc w:val="both"/>
              <w:rPr>
                <w:b/>
                <w:bCs/>
                <w:sz w:val="24"/>
                <w:szCs w:val="24"/>
              </w:rPr>
            </w:pPr>
            <w:r w:rsidRPr="00521D07">
              <w:rPr>
                <w:rFonts w:eastAsia="Calibri"/>
                <w:sz w:val="24"/>
                <w:szCs w:val="24"/>
              </w:rPr>
              <w:t xml:space="preserve"> </w:t>
            </w:r>
            <w:r w:rsidR="00521D07" w:rsidRPr="00521D07">
              <w:rPr>
                <w:b/>
                <w:bCs/>
                <w:sz w:val="24"/>
                <w:szCs w:val="24"/>
              </w:rPr>
              <w:t>Year</w:t>
            </w:r>
          </w:p>
        </w:tc>
        <w:tc>
          <w:tcPr>
            <w:tcW w:w="3260" w:type="dxa"/>
            <w:tcBorders>
              <w:bottom w:val="single" w:sz="12" w:space="0" w:color="auto"/>
            </w:tcBorders>
            <w:vAlign w:val="center"/>
          </w:tcPr>
          <w:p w14:paraId="43E7A38C" w14:textId="77777777" w:rsidR="00521D07" w:rsidRPr="00521D07" w:rsidRDefault="00521D07" w:rsidP="00521D07">
            <w:pPr>
              <w:widowControl w:val="0"/>
              <w:autoSpaceDE w:val="0"/>
              <w:autoSpaceDN w:val="0"/>
              <w:adjustRightInd w:val="0"/>
              <w:spacing w:after="0"/>
              <w:jc w:val="center"/>
              <w:rPr>
                <w:b/>
                <w:bCs/>
                <w:sz w:val="24"/>
                <w:szCs w:val="24"/>
              </w:rPr>
            </w:pPr>
            <w:r w:rsidRPr="00521D07">
              <w:rPr>
                <w:b/>
                <w:bCs/>
                <w:sz w:val="24"/>
                <w:szCs w:val="24"/>
              </w:rPr>
              <w:t>People Carrier</w:t>
            </w:r>
          </w:p>
        </w:tc>
        <w:tc>
          <w:tcPr>
            <w:tcW w:w="2410" w:type="dxa"/>
            <w:tcBorders>
              <w:bottom w:val="single" w:sz="12" w:space="0" w:color="auto"/>
            </w:tcBorders>
            <w:vAlign w:val="center"/>
          </w:tcPr>
          <w:p w14:paraId="2879F84B" w14:textId="77777777" w:rsidR="00521D07" w:rsidRPr="00521D07" w:rsidRDefault="00521D07" w:rsidP="00521D07">
            <w:pPr>
              <w:widowControl w:val="0"/>
              <w:autoSpaceDE w:val="0"/>
              <w:autoSpaceDN w:val="0"/>
              <w:adjustRightInd w:val="0"/>
              <w:spacing w:after="0"/>
              <w:jc w:val="center"/>
              <w:rPr>
                <w:b/>
                <w:bCs/>
                <w:sz w:val="24"/>
                <w:szCs w:val="24"/>
              </w:rPr>
            </w:pPr>
            <w:r w:rsidRPr="00521D07">
              <w:rPr>
                <w:b/>
                <w:bCs/>
                <w:sz w:val="24"/>
                <w:szCs w:val="24"/>
              </w:rPr>
              <w:t>SUV</w:t>
            </w:r>
          </w:p>
        </w:tc>
      </w:tr>
      <w:tr w:rsidR="00521D07" w:rsidRPr="000C2E4F" w14:paraId="1E248CF4" w14:textId="77777777" w:rsidTr="00521D07">
        <w:trPr>
          <w:jc w:val="center"/>
        </w:trPr>
        <w:tc>
          <w:tcPr>
            <w:tcW w:w="846" w:type="dxa"/>
            <w:tcBorders>
              <w:top w:val="single" w:sz="12" w:space="0" w:color="auto"/>
            </w:tcBorders>
          </w:tcPr>
          <w:p w14:paraId="609AC1BC" w14:textId="77777777" w:rsidR="00521D07" w:rsidRPr="00521D07" w:rsidRDefault="00521D07" w:rsidP="00521D07">
            <w:pPr>
              <w:widowControl w:val="0"/>
              <w:autoSpaceDE w:val="0"/>
              <w:autoSpaceDN w:val="0"/>
              <w:adjustRightInd w:val="0"/>
              <w:spacing w:after="0"/>
              <w:jc w:val="both"/>
              <w:rPr>
                <w:b/>
                <w:sz w:val="24"/>
                <w:szCs w:val="24"/>
              </w:rPr>
            </w:pPr>
            <w:r w:rsidRPr="00521D07">
              <w:rPr>
                <w:b/>
                <w:sz w:val="24"/>
                <w:szCs w:val="24"/>
              </w:rPr>
              <w:t>0</w:t>
            </w:r>
          </w:p>
        </w:tc>
        <w:tc>
          <w:tcPr>
            <w:tcW w:w="3260" w:type="dxa"/>
            <w:tcBorders>
              <w:top w:val="single" w:sz="12" w:space="0" w:color="auto"/>
            </w:tcBorders>
            <w:vAlign w:val="center"/>
          </w:tcPr>
          <w:p w14:paraId="2C072995" w14:textId="33530C5B" w:rsidR="00521D07" w:rsidRPr="00521D07" w:rsidRDefault="00521D07" w:rsidP="00521D07">
            <w:pPr>
              <w:widowControl w:val="0"/>
              <w:autoSpaceDE w:val="0"/>
              <w:autoSpaceDN w:val="0"/>
              <w:adjustRightInd w:val="0"/>
              <w:spacing w:after="0"/>
              <w:jc w:val="center"/>
              <w:rPr>
                <w:sz w:val="24"/>
                <w:szCs w:val="24"/>
              </w:rPr>
            </w:pPr>
            <w:r w:rsidRPr="00521D07">
              <w:rPr>
                <w:sz w:val="24"/>
                <w:szCs w:val="24"/>
              </w:rPr>
              <w:t>-€200,000</w:t>
            </w:r>
          </w:p>
        </w:tc>
        <w:tc>
          <w:tcPr>
            <w:tcW w:w="2410" w:type="dxa"/>
            <w:tcBorders>
              <w:top w:val="single" w:sz="12" w:space="0" w:color="auto"/>
            </w:tcBorders>
            <w:vAlign w:val="center"/>
          </w:tcPr>
          <w:p w14:paraId="29D2FC44" w14:textId="70163A71" w:rsidR="00521D07" w:rsidRPr="00521D07" w:rsidRDefault="00521D07" w:rsidP="00521D07">
            <w:pPr>
              <w:widowControl w:val="0"/>
              <w:autoSpaceDE w:val="0"/>
              <w:autoSpaceDN w:val="0"/>
              <w:adjustRightInd w:val="0"/>
              <w:spacing w:after="0"/>
              <w:jc w:val="center"/>
              <w:rPr>
                <w:sz w:val="24"/>
                <w:szCs w:val="24"/>
              </w:rPr>
            </w:pPr>
            <w:r w:rsidRPr="00521D07">
              <w:rPr>
                <w:sz w:val="24"/>
                <w:szCs w:val="24"/>
              </w:rPr>
              <w:t>-€500,000</w:t>
            </w:r>
          </w:p>
        </w:tc>
      </w:tr>
      <w:tr w:rsidR="00521D07" w:rsidRPr="000C2E4F" w14:paraId="433C53D1" w14:textId="77777777" w:rsidTr="00521D07">
        <w:trPr>
          <w:jc w:val="center"/>
        </w:trPr>
        <w:tc>
          <w:tcPr>
            <w:tcW w:w="846" w:type="dxa"/>
          </w:tcPr>
          <w:p w14:paraId="7B4034B8" w14:textId="77777777" w:rsidR="00521D07" w:rsidRPr="00521D07" w:rsidRDefault="00521D07" w:rsidP="00521D07">
            <w:pPr>
              <w:widowControl w:val="0"/>
              <w:autoSpaceDE w:val="0"/>
              <w:autoSpaceDN w:val="0"/>
              <w:adjustRightInd w:val="0"/>
              <w:spacing w:after="0"/>
              <w:jc w:val="both"/>
              <w:rPr>
                <w:b/>
                <w:sz w:val="24"/>
                <w:szCs w:val="24"/>
              </w:rPr>
            </w:pPr>
            <w:r w:rsidRPr="00521D07">
              <w:rPr>
                <w:b/>
                <w:sz w:val="24"/>
                <w:szCs w:val="24"/>
              </w:rPr>
              <w:t>1</w:t>
            </w:r>
          </w:p>
        </w:tc>
        <w:tc>
          <w:tcPr>
            <w:tcW w:w="3260" w:type="dxa"/>
            <w:vAlign w:val="center"/>
          </w:tcPr>
          <w:p w14:paraId="69336D01" w14:textId="5E0DD4C1" w:rsidR="00521D07" w:rsidRPr="00521D07" w:rsidRDefault="00521D07" w:rsidP="00521D07">
            <w:pPr>
              <w:widowControl w:val="0"/>
              <w:autoSpaceDE w:val="0"/>
              <w:autoSpaceDN w:val="0"/>
              <w:adjustRightInd w:val="0"/>
              <w:spacing w:after="0"/>
              <w:jc w:val="center"/>
              <w:rPr>
                <w:sz w:val="24"/>
                <w:szCs w:val="24"/>
              </w:rPr>
            </w:pPr>
            <w:r w:rsidRPr="00521D07">
              <w:rPr>
                <w:sz w:val="24"/>
                <w:szCs w:val="24"/>
              </w:rPr>
              <w:t>300,000</w:t>
            </w:r>
          </w:p>
        </w:tc>
        <w:tc>
          <w:tcPr>
            <w:tcW w:w="2410" w:type="dxa"/>
            <w:vAlign w:val="center"/>
          </w:tcPr>
          <w:p w14:paraId="74E9AA6F" w14:textId="53A7E693" w:rsidR="00521D07" w:rsidRPr="00521D07" w:rsidRDefault="00521D07" w:rsidP="00521D07">
            <w:pPr>
              <w:widowControl w:val="0"/>
              <w:autoSpaceDE w:val="0"/>
              <w:autoSpaceDN w:val="0"/>
              <w:adjustRightInd w:val="0"/>
              <w:spacing w:after="0"/>
              <w:jc w:val="center"/>
              <w:rPr>
                <w:sz w:val="24"/>
                <w:szCs w:val="24"/>
              </w:rPr>
            </w:pPr>
            <w:r w:rsidRPr="00521D07">
              <w:rPr>
                <w:sz w:val="24"/>
                <w:szCs w:val="24"/>
              </w:rPr>
              <w:t>300,000</w:t>
            </w:r>
          </w:p>
        </w:tc>
      </w:tr>
      <w:tr w:rsidR="00521D07" w:rsidRPr="000C2E4F" w14:paraId="075ED65F" w14:textId="77777777" w:rsidTr="00521D07">
        <w:trPr>
          <w:jc w:val="center"/>
        </w:trPr>
        <w:tc>
          <w:tcPr>
            <w:tcW w:w="846" w:type="dxa"/>
          </w:tcPr>
          <w:p w14:paraId="7C685D8D" w14:textId="77777777" w:rsidR="00521D07" w:rsidRPr="00521D07" w:rsidRDefault="00521D07" w:rsidP="00521D07">
            <w:pPr>
              <w:widowControl w:val="0"/>
              <w:autoSpaceDE w:val="0"/>
              <w:autoSpaceDN w:val="0"/>
              <w:adjustRightInd w:val="0"/>
              <w:spacing w:after="0"/>
              <w:jc w:val="both"/>
              <w:rPr>
                <w:b/>
                <w:sz w:val="24"/>
                <w:szCs w:val="24"/>
              </w:rPr>
            </w:pPr>
            <w:r w:rsidRPr="00521D07">
              <w:rPr>
                <w:b/>
                <w:sz w:val="24"/>
                <w:szCs w:val="24"/>
              </w:rPr>
              <w:t>2</w:t>
            </w:r>
          </w:p>
        </w:tc>
        <w:tc>
          <w:tcPr>
            <w:tcW w:w="3260" w:type="dxa"/>
            <w:vAlign w:val="center"/>
          </w:tcPr>
          <w:p w14:paraId="4AD9E840" w14:textId="6B4575E8" w:rsidR="00521D07" w:rsidRPr="00521D07" w:rsidRDefault="00521D07" w:rsidP="00521D07">
            <w:pPr>
              <w:widowControl w:val="0"/>
              <w:autoSpaceDE w:val="0"/>
              <w:autoSpaceDN w:val="0"/>
              <w:adjustRightInd w:val="0"/>
              <w:spacing w:after="0"/>
              <w:jc w:val="center"/>
              <w:rPr>
                <w:sz w:val="24"/>
                <w:szCs w:val="24"/>
              </w:rPr>
            </w:pPr>
            <w:r w:rsidRPr="00521D07">
              <w:rPr>
                <w:sz w:val="24"/>
                <w:szCs w:val="24"/>
              </w:rPr>
              <w:t>100,000</w:t>
            </w:r>
          </w:p>
        </w:tc>
        <w:tc>
          <w:tcPr>
            <w:tcW w:w="2410" w:type="dxa"/>
            <w:vAlign w:val="center"/>
          </w:tcPr>
          <w:p w14:paraId="24AFCD2C" w14:textId="62C943AF" w:rsidR="00521D07" w:rsidRPr="00521D07" w:rsidRDefault="00521D07" w:rsidP="00521D07">
            <w:pPr>
              <w:widowControl w:val="0"/>
              <w:autoSpaceDE w:val="0"/>
              <w:autoSpaceDN w:val="0"/>
              <w:adjustRightInd w:val="0"/>
              <w:spacing w:after="0"/>
              <w:jc w:val="center"/>
              <w:rPr>
                <w:sz w:val="24"/>
                <w:szCs w:val="24"/>
              </w:rPr>
            </w:pPr>
            <w:r w:rsidRPr="00521D07">
              <w:rPr>
                <w:sz w:val="24"/>
                <w:szCs w:val="24"/>
              </w:rPr>
              <w:t>250,000</w:t>
            </w:r>
          </w:p>
        </w:tc>
      </w:tr>
      <w:tr w:rsidR="00521D07" w:rsidRPr="000C2E4F" w14:paraId="4FA73E4C" w14:textId="77777777" w:rsidTr="00521D07">
        <w:trPr>
          <w:jc w:val="center"/>
        </w:trPr>
        <w:tc>
          <w:tcPr>
            <w:tcW w:w="846" w:type="dxa"/>
            <w:tcBorders>
              <w:bottom w:val="single" w:sz="6" w:space="0" w:color="auto"/>
            </w:tcBorders>
          </w:tcPr>
          <w:p w14:paraId="5C52B5A1" w14:textId="77777777" w:rsidR="00521D07" w:rsidRPr="00521D07" w:rsidRDefault="00521D07" w:rsidP="00521D07">
            <w:pPr>
              <w:widowControl w:val="0"/>
              <w:autoSpaceDE w:val="0"/>
              <w:autoSpaceDN w:val="0"/>
              <w:adjustRightInd w:val="0"/>
              <w:spacing w:after="0"/>
              <w:jc w:val="both"/>
              <w:rPr>
                <w:b/>
                <w:sz w:val="24"/>
                <w:szCs w:val="24"/>
              </w:rPr>
            </w:pPr>
            <w:r w:rsidRPr="00521D07">
              <w:rPr>
                <w:b/>
                <w:sz w:val="24"/>
                <w:szCs w:val="24"/>
              </w:rPr>
              <w:t>3</w:t>
            </w:r>
          </w:p>
        </w:tc>
        <w:tc>
          <w:tcPr>
            <w:tcW w:w="3260" w:type="dxa"/>
            <w:tcBorders>
              <w:bottom w:val="single" w:sz="6" w:space="0" w:color="auto"/>
            </w:tcBorders>
            <w:vAlign w:val="center"/>
          </w:tcPr>
          <w:p w14:paraId="6C0EC763" w14:textId="5E367AE5" w:rsidR="00521D07" w:rsidRPr="00521D07" w:rsidRDefault="00521D07" w:rsidP="00521D07">
            <w:pPr>
              <w:widowControl w:val="0"/>
              <w:autoSpaceDE w:val="0"/>
              <w:autoSpaceDN w:val="0"/>
              <w:adjustRightInd w:val="0"/>
              <w:spacing w:after="0"/>
              <w:jc w:val="center"/>
              <w:rPr>
                <w:sz w:val="24"/>
                <w:szCs w:val="24"/>
              </w:rPr>
            </w:pPr>
            <w:r w:rsidRPr="00521D07">
              <w:rPr>
                <w:sz w:val="24"/>
                <w:szCs w:val="24"/>
              </w:rPr>
              <w:t>100,000</w:t>
            </w:r>
          </w:p>
        </w:tc>
        <w:tc>
          <w:tcPr>
            <w:tcW w:w="2410" w:type="dxa"/>
            <w:tcBorders>
              <w:bottom w:val="single" w:sz="6" w:space="0" w:color="auto"/>
            </w:tcBorders>
            <w:vAlign w:val="center"/>
          </w:tcPr>
          <w:p w14:paraId="0E04225F" w14:textId="6B1599BA" w:rsidR="00521D07" w:rsidRPr="00521D07" w:rsidRDefault="00521D07" w:rsidP="00521D07">
            <w:pPr>
              <w:widowControl w:val="0"/>
              <w:autoSpaceDE w:val="0"/>
              <w:autoSpaceDN w:val="0"/>
              <w:adjustRightInd w:val="0"/>
              <w:spacing w:after="0"/>
              <w:jc w:val="center"/>
              <w:rPr>
                <w:sz w:val="24"/>
                <w:szCs w:val="24"/>
              </w:rPr>
            </w:pPr>
            <w:r w:rsidRPr="00521D07">
              <w:rPr>
                <w:sz w:val="24"/>
                <w:szCs w:val="24"/>
              </w:rPr>
              <w:t>250,000</w:t>
            </w:r>
          </w:p>
        </w:tc>
      </w:tr>
    </w:tbl>
    <w:p w14:paraId="1F17BFC1" w14:textId="05416600" w:rsidR="000465CE" w:rsidRPr="003E48AA" w:rsidRDefault="000465CE" w:rsidP="000465CE">
      <w:pPr>
        <w:pStyle w:val="ListParagraph"/>
        <w:widowControl w:val="0"/>
        <w:autoSpaceDE w:val="0"/>
        <w:autoSpaceDN w:val="0"/>
        <w:adjustRightInd w:val="0"/>
        <w:spacing w:before="60"/>
        <w:ind w:left="284"/>
        <w:jc w:val="both"/>
        <w:rPr>
          <w:rFonts w:eastAsia="Calibri"/>
          <w:sz w:val="24"/>
          <w:szCs w:val="18"/>
        </w:rPr>
      </w:pPr>
    </w:p>
    <w:p w14:paraId="6EBF2EA3" w14:textId="5EB46644" w:rsidR="00A70835" w:rsidRDefault="00A70835" w:rsidP="00A70835">
      <w:pPr>
        <w:pStyle w:val="ListParagraph"/>
        <w:widowControl w:val="0"/>
        <w:numPr>
          <w:ilvl w:val="0"/>
          <w:numId w:val="26"/>
        </w:numPr>
        <w:autoSpaceDE w:val="0"/>
        <w:autoSpaceDN w:val="0"/>
        <w:adjustRightInd w:val="0"/>
        <w:spacing w:before="60"/>
        <w:ind w:left="709"/>
        <w:jc w:val="both"/>
        <w:rPr>
          <w:rFonts w:eastAsia="Calibri"/>
          <w:sz w:val="24"/>
          <w:szCs w:val="18"/>
        </w:rPr>
      </w:pPr>
      <w:r w:rsidRPr="00A70835">
        <w:rPr>
          <w:rFonts w:eastAsia="Calibri"/>
          <w:sz w:val="24"/>
          <w:szCs w:val="18"/>
        </w:rPr>
        <w:t>Based on the payback period, which project should be taken?</w:t>
      </w:r>
    </w:p>
    <w:p w14:paraId="49C414CC" w14:textId="134A3FCF" w:rsidR="004266EA" w:rsidRDefault="004266EA" w:rsidP="004266EA">
      <w:pPr>
        <w:widowControl w:val="0"/>
        <w:autoSpaceDE w:val="0"/>
        <w:autoSpaceDN w:val="0"/>
        <w:adjustRightInd w:val="0"/>
        <w:spacing w:before="60"/>
        <w:ind w:left="349"/>
        <w:jc w:val="both"/>
        <w:rPr>
          <w:rFonts w:eastAsia="Calibri"/>
          <w:color w:val="4472C4" w:themeColor="accent1"/>
          <w:sz w:val="24"/>
          <w:szCs w:val="18"/>
        </w:rPr>
      </w:pPr>
      <w:r>
        <w:rPr>
          <w:rFonts w:eastAsia="Calibri"/>
          <w:color w:val="4472C4" w:themeColor="accent1"/>
          <w:sz w:val="24"/>
          <w:szCs w:val="18"/>
        </w:rPr>
        <w:t>Using the payback period rule, we have:</w:t>
      </w:r>
    </w:p>
    <w:tbl>
      <w:tblPr>
        <w:tblW w:w="0" w:type="auto"/>
        <w:tblInd w:w="426" w:type="dxa"/>
        <w:tblLayout w:type="fixed"/>
        <w:tblCellMar>
          <w:left w:w="0" w:type="dxa"/>
          <w:right w:w="0" w:type="dxa"/>
        </w:tblCellMar>
        <w:tblLook w:val="0000" w:firstRow="0" w:lastRow="0" w:firstColumn="0" w:lastColumn="0" w:noHBand="0" w:noVBand="0"/>
      </w:tblPr>
      <w:tblGrid>
        <w:gridCol w:w="567"/>
        <w:gridCol w:w="2693"/>
        <w:gridCol w:w="2693"/>
      </w:tblGrid>
      <w:tr w:rsidR="004266EA" w:rsidRPr="00521D07" w14:paraId="79A30093" w14:textId="56325743" w:rsidTr="00804480">
        <w:tc>
          <w:tcPr>
            <w:tcW w:w="567" w:type="dxa"/>
            <w:tcBorders>
              <w:bottom w:val="single" w:sz="12" w:space="0" w:color="auto"/>
            </w:tcBorders>
          </w:tcPr>
          <w:p w14:paraId="6C864045" w14:textId="77777777" w:rsidR="004266EA" w:rsidRPr="00521D07" w:rsidRDefault="004266EA" w:rsidP="00804480">
            <w:pPr>
              <w:widowControl w:val="0"/>
              <w:autoSpaceDE w:val="0"/>
              <w:autoSpaceDN w:val="0"/>
              <w:adjustRightInd w:val="0"/>
              <w:spacing w:after="0"/>
              <w:jc w:val="both"/>
              <w:rPr>
                <w:b/>
                <w:bCs/>
                <w:sz w:val="24"/>
                <w:szCs w:val="24"/>
              </w:rPr>
            </w:pPr>
            <w:r w:rsidRPr="00521D07">
              <w:rPr>
                <w:b/>
                <w:bCs/>
                <w:sz w:val="24"/>
                <w:szCs w:val="24"/>
              </w:rPr>
              <w:t>Year</w:t>
            </w:r>
          </w:p>
        </w:tc>
        <w:tc>
          <w:tcPr>
            <w:tcW w:w="2693" w:type="dxa"/>
            <w:tcBorders>
              <w:bottom w:val="single" w:sz="12" w:space="0" w:color="auto"/>
            </w:tcBorders>
            <w:vAlign w:val="center"/>
          </w:tcPr>
          <w:p w14:paraId="755C868F" w14:textId="77777777" w:rsidR="004266EA" w:rsidRPr="00521D07" w:rsidRDefault="004266EA" w:rsidP="00804480">
            <w:pPr>
              <w:widowControl w:val="0"/>
              <w:autoSpaceDE w:val="0"/>
              <w:autoSpaceDN w:val="0"/>
              <w:adjustRightInd w:val="0"/>
              <w:spacing w:after="0"/>
              <w:jc w:val="center"/>
              <w:rPr>
                <w:b/>
                <w:bCs/>
                <w:sz w:val="24"/>
                <w:szCs w:val="24"/>
              </w:rPr>
            </w:pPr>
            <w:r w:rsidRPr="00521D07">
              <w:rPr>
                <w:b/>
                <w:bCs/>
                <w:sz w:val="24"/>
                <w:szCs w:val="24"/>
              </w:rPr>
              <w:t>People Carrier</w:t>
            </w:r>
          </w:p>
        </w:tc>
        <w:tc>
          <w:tcPr>
            <w:tcW w:w="2693" w:type="dxa"/>
            <w:tcBorders>
              <w:bottom w:val="single" w:sz="12" w:space="0" w:color="auto"/>
            </w:tcBorders>
          </w:tcPr>
          <w:p w14:paraId="644A97AE" w14:textId="57872F44" w:rsidR="004266EA" w:rsidRPr="004266EA" w:rsidRDefault="004266EA" w:rsidP="00804480">
            <w:pPr>
              <w:widowControl w:val="0"/>
              <w:autoSpaceDE w:val="0"/>
              <w:autoSpaceDN w:val="0"/>
              <w:adjustRightInd w:val="0"/>
              <w:spacing w:after="0"/>
              <w:jc w:val="center"/>
              <w:rPr>
                <w:b/>
                <w:bCs/>
                <w:color w:val="4472C4" w:themeColor="accent1"/>
                <w:sz w:val="24"/>
                <w:szCs w:val="24"/>
              </w:rPr>
            </w:pPr>
            <w:r w:rsidRPr="004266EA">
              <w:rPr>
                <w:b/>
                <w:bCs/>
                <w:color w:val="4472C4" w:themeColor="accent1"/>
                <w:sz w:val="24"/>
                <w:szCs w:val="24"/>
              </w:rPr>
              <w:t>C</w:t>
            </w:r>
            <w:r>
              <w:rPr>
                <w:b/>
                <w:bCs/>
                <w:color w:val="4472C4" w:themeColor="accent1"/>
                <w:sz w:val="24"/>
                <w:szCs w:val="24"/>
              </w:rPr>
              <w:t xml:space="preserve">umulative </w:t>
            </w:r>
            <w:r w:rsidR="00D7006F">
              <w:rPr>
                <w:b/>
                <w:bCs/>
                <w:color w:val="4472C4" w:themeColor="accent1"/>
                <w:sz w:val="24"/>
                <w:szCs w:val="24"/>
              </w:rPr>
              <w:t>C</w:t>
            </w:r>
            <w:r>
              <w:rPr>
                <w:b/>
                <w:bCs/>
                <w:color w:val="4472C4" w:themeColor="accent1"/>
                <w:sz w:val="24"/>
                <w:szCs w:val="24"/>
              </w:rPr>
              <w:t>F</w:t>
            </w:r>
          </w:p>
        </w:tc>
      </w:tr>
      <w:tr w:rsidR="004266EA" w:rsidRPr="00521D07" w14:paraId="5D163F94" w14:textId="0344BB99" w:rsidTr="004266EA">
        <w:tc>
          <w:tcPr>
            <w:tcW w:w="567" w:type="dxa"/>
            <w:tcBorders>
              <w:top w:val="single" w:sz="12" w:space="0" w:color="auto"/>
            </w:tcBorders>
          </w:tcPr>
          <w:p w14:paraId="7D5A0581" w14:textId="77777777" w:rsidR="004266EA" w:rsidRPr="00521D07" w:rsidRDefault="004266EA" w:rsidP="00804480">
            <w:pPr>
              <w:widowControl w:val="0"/>
              <w:autoSpaceDE w:val="0"/>
              <w:autoSpaceDN w:val="0"/>
              <w:adjustRightInd w:val="0"/>
              <w:spacing w:after="0"/>
              <w:jc w:val="both"/>
              <w:rPr>
                <w:b/>
                <w:sz w:val="24"/>
                <w:szCs w:val="24"/>
              </w:rPr>
            </w:pPr>
            <w:r w:rsidRPr="00521D07">
              <w:rPr>
                <w:b/>
                <w:sz w:val="24"/>
                <w:szCs w:val="24"/>
              </w:rPr>
              <w:t>0</w:t>
            </w:r>
          </w:p>
        </w:tc>
        <w:tc>
          <w:tcPr>
            <w:tcW w:w="2693" w:type="dxa"/>
            <w:tcBorders>
              <w:top w:val="single" w:sz="12" w:space="0" w:color="auto"/>
            </w:tcBorders>
            <w:vAlign w:val="center"/>
          </w:tcPr>
          <w:p w14:paraId="01921AAE" w14:textId="77777777" w:rsidR="004266EA" w:rsidRPr="00521D07" w:rsidRDefault="004266EA" w:rsidP="00804480">
            <w:pPr>
              <w:widowControl w:val="0"/>
              <w:autoSpaceDE w:val="0"/>
              <w:autoSpaceDN w:val="0"/>
              <w:adjustRightInd w:val="0"/>
              <w:spacing w:after="0"/>
              <w:jc w:val="center"/>
              <w:rPr>
                <w:sz w:val="24"/>
                <w:szCs w:val="24"/>
              </w:rPr>
            </w:pPr>
            <w:r w:rsidRPr="00521D07">
              <w:rPr>
                <w:sz w:val="24"/>
                <w:szCs w:val="24"/>
              </w:rPr>
              <w:t>-€200,000</w:t>
            </w:r>
          </w:p>
        </w:tc>
        <w:tc>
          <w:tcPr>
            <w:tcW w:w="2693" w:type="dxa"/>
            <w:tcBorders>
              <w:top w:val="single" w:sz="12" w:space="0" w:color="auto"/>
            </w:tcBorders>
            <w:vAlign w:val="center"/>
          </w:tcPr>
          <w:p w14:paraId="7EDD8723" w14:textId="7A834B2D" w:rsidR="004266EA" w:rsidRPr="004266EA" w:rsidRDefault="004266EA" w:rsidP="004266EA">
            <w:pPr>
              <w:widowControl w:val="0"/>
              <w:autoSpaceDE w:val="0"/>
              <w:autoSpaceDN w:val="0"/>
              <w:adjustRightInd w:val="0"/>
              <w:spacing w:after="0"/>
              <w:jc w:val="center"/>
              <w:rPr>
                <w:color w:val="4472C4" w:themeColor="accent1"/>
                <w:sz w:val="24"/>
                <w:szCs w:val="24"/>
              </w:rPr>
            </w:pPr>
            <m:oMathPara>
              <m:oMath>
                <m:r>
                  <w:rPr>
                    <w:rFonts w:ascii="Cambria Math" w:hAnsi="Cambria Math"/>
                    <w:color w:val="4472C4" w:themeColor="accent1"/>
                    <w:sz w:val="24"/>
                    <w:szCs w:val="24"/>
                  </w:rPr>
                  <m:t>-200,000</m:t>
                </m:r>
              </m:oMath>
            </m:oMathPara>
          </w:p>
        </w:tc>
      </w:tr>
      <w:tr w:rsidR="004266EA" w:rsidRPr="00521D07" w14:paraId="2E1A75E8" w14:textId="5462F40F" w:rsidTr="004266EA">
        <w:tc>
          <w:tcPr>
            <w:tcW w:w="567" w:type="dxa"/>
          </w:tcPr>
          <w:p w14:paraId="3991FDB7" w14:textId="77777777" w:rsidR="004266EA" w:rsidRPr="00521D07" w:rsidRDefault="004266EA" w:rsidP="00804480">
            <w:pPr>
              <w:widowControl w:val="0"/>
              <w:autoSpaceDE w:val="0"/>
              <w:autoSpaceDN w:val="0"/>
              <w:adjustRightInd w:val="0"/>
              <w:spacing w:after="0"/>
              <w:jc w:val="both"/>
              <w:rPr>
                <w:b/>
                <w:sz w:val="24"/>
                <w:szCs w:val="24"/>
              </w:rPr>
            </w:pPr>
            <w:r w:rsidRPr="00521D07">
              <w:rPr>
                <w:b/>
                <w:sz w:val="24"/>
                <w:szCs w:val="24"/>
              </w:rPr>
              <w:t>1</w:t>
            </w:r>
          </w:p>
        </w:tc>
        <w:tc>
          <w:tcPr>
            <w:tcW w:w="2693" w:type="dxa"/>
            <w:vAlign w:val="center"/>
          </w:tcPr>
          <w:p w14:paraId="30BF1878" w14:textId="77777777" w:rsidR="004266EA" w:rsidRPr="00521D07" w:rsidRDefault="004266EA" w:rsidP="00804480">
            <w:pPr>
              <w:widowControl w:val="0"/>
              <w:autoSpaceDE w:val="0"/>
              <w:autoSpaceDN w:val="0"/>
              <w:adjustRightInd w:val="0"/>
              <w:spacing w:after="0"/>
              <w:jc w:val="center"/>
              <w:rPr>
                <w:sz w:val="24"/>
                <w:szCs w:val="24"/>
              </w:rPr>
            </w:pPr>
            <w:r w:rsidRPr="00521D07">
              <w:rPr>
                <w:sz w:val="24"/>
                <w:szCs w:val="24"/>
              </w:rPr>
              <w:t>300,000</w:t>
            </w:r>
          </w:p>
        </w:tc>
        <w:tc>
          <w:tcPr>
            <w:tcW w:w="2693" w:type="dxa"/>
            <w:vAlign w:val="center"/>
          </w:tcPr>
          <w:p w14:paraId="7339D377" w14:textId="75AFD0EA" w:rsidR="004266EA" w:rsidRPr="004266EA" w:rsidRDefault="004266EA" w:rsidP="004266EA">
            <w:pPr>
              <w:widowControl w:val="0"/>
              <w:autoSpaceDE w:val="0"/>
              <w:autoSpaceDN w:val="0"/>
              <w:adjustRightInd w:val="0"/>
              <w:spacing w:after="0"/>
              <w:jc w:val="center"/>
              <w:rPr>
                <w:color w:val="4472C4" w:themeColor="accent1"/>
                <w:sz w:val="24"/>
                <w:szCs w:val="24"/>
              </w:rPr>
            </w:pPr>
            <m:oMathPara>
              <m:oMath>
                <m:r>
                  <w:rPr>
                    <w:rFonts w:ascii="Cambria Math" w:hAnsi="Cambria Math"/>
                    <w:color w:val="4472C4" w:themeColor="accent1"/>
                    <w:sz w:val="24"/>
                    <w:szCs w:val="24"/>
                  </w:rPr>
                  <m:t>100,000</m:t>
                </m:r>
              </m:oMath>
            </m:oMathPara>
          </w:p>
        </w:tc>
      </w:tr>
      <w:tr w:rsidR="004266EA" w:rsidRPr="00521D07" w14:paraId="3613571A" w14:textId="7E7039CD" w:rsidTr="004266EA">
        <w:tc>
          <w:tcPr>
            <w:tcW w:w="567" w:type="dxa"/>
          </w:tcPr>
          <w:p w14:paraId="482A159B" w14:textId="77777777" w:rsidR="004266EA" w:rsidRPr="00521D07" w:rsidRDefault="004266EA" w:rsidP="00804480">
            <w:pPr>
              <w:widowControl w:val="0"/>
              <w:autoSpaceDE w:val="0"/>
              <w:autoSpaceDN w:val="0"/>
              <w:adjustRightInd w:val="0"/>
              <w:spacing w:after="0"/>
              <w:jc w:val="both"/>
              <w:rPr>
                <w:b/>
                <w:sz w:val="24"/>
                <w:szCs w:val="24"/>
              </w:rPr>
            </w:pPr>
            <w:r w:rsidRPr="00521D07">
              <w:rPr>
                <w:b/>
                <w:sz w:val="24"/>
                <w:szCs w:val="24"/>
              </w:rPr>
              <w:t>2</w:t>
            </w:r>
          </w:p>
        </w:tc>
        <w:tc>
          <w:tcPr>
            <w:tcW w:w="2693" w:type="dxa"/>
            <w:vAlign w:val="center"/>
          </w:tcPr>
          <w:p w14:paraId="118BAA5C" w14:textId="77777777" w:rsidR="004266EA" w:rsidRPr="00521D07" w:rsidRDefault="004266EA" w:rsidP="00804480">
            <w:pPr>
              <w:widowControl w:val="0"/>
              <w:autoSpaceDE w:val="0"/>
              <w:autoSpaceDN w:val="0"/>
              <w:adjustRightInd w:val="0"/>
              <w:spacing w:after="0"/>
              <w:jc w:val="center"/>
              <w:rPr>
                <w:sz w:val="24"/>
                <w:szCs w:val="24"/>
              </w:rPr>
            </w:pPr>
            <w:r w:rsidRPr="00521D07">
              <w:rPr>
                <w:sz w:val="24"/>
                <w:szCs w:val="24"/>
              </w:rPr>
              <w:t>100,000</w:t>
            </w:r>
          </w:p>
        </w:tc>
        <w:tc>
          <w:tcPr>
            <w:tcW w:w="2693" w:type="dxa"/>
            <w:vAlign w:val="center"/>
          </w:tcPr>
          <w:p w14:paraId="3266771E" w14:textId="6050A5AA" w:rsidR="004266EA" w:rsidRPr="004266EA" w:rsidRDefault="004266EA" w:rsidP="004266EA">
            <w:pPr>
              <w:widowControl w:val="0"/>
              <w:autoSpaceDE w:val="0"/>
              <w:autoSpaceDN w:val="0"/>
              <w:adjustRightInd w:val="0"/>
              <w:spacing w:after="0"/>
              <w:jc w:val="center"/>
              <w:rPr>
                <w:color w:val="4472C4" w:themeColor="accent1"/>
                <w:sz w:val="24"/>
                <w:szCs w:val="24"/>
              </w:rPr>
            </w:pPr>
            <w:r>
              <w:rPr>
                <w:color w:val="4472C4" w:themeColor="accent1"/>
                <w:sz w:val="24"/>
                <w:szCs w:val="24"/>
              </w:rPr>
              <w:t>…</w:t>
            </w:r>
          </w:p>
        </w:tc>
      </w:tr>
      <w:tr w:rsidR="004266EA" w:rsidRPr="00521D07" w14:paraId="368C5796" w14:textId="67496B6B" w:rsidTr="004266EA">
        <w:tc>
          <w:tcPr>
            <w:tcW w:w="567" w:type="dxa"/>
            <w:tcBorders>
              <w:bottom w:val="single" w:sz="6" w:space="0" w:color="auto"/>
            </w:tcBorders>
          </w:tcPr>
          <w:p w14:paraId="1F014575" w14:textId="77777777" w:rsidR="004266EA" w:rsidRPr="00521D07" w:rsidRDefault="004266EA" w:rsidP="00804480">
            <w:pPr>
              <w:widowControl w:val="0"/>
              <w:autoSpaceDE w:val="0"/>
              <w:autoSpaceDN w:val="0"/>
              <w:adjustRightInd w:val="0"/>
              <w:spacing w:after="0"/>
              <w:jc w:val="both"/>
              <w:rPr>
                <w:b/>
                <w:sz w:val="24"/>
                <w:szCs w:val="24"/>
              </w:rPr>
            </w:pPr>
            <w:r w:rsidRPr="00521D07">
              <w:rPr>
                <w:b/>
                <w:sz w:val="24"/>
                <w:szCs w:val="24"/>
              </w:rPr>
              <w:t>3</w:t>
            </w:r>
          </w:p>
        </w:tc>
        <w:tc>
          <w:tcPr>
            <w:tcW w:w="2693" w:type="dxa"/>
            <w:tcBorders>
              <w:bottom w:val="single" w:sz="6" w:space="0" w:color="auto"/>
            </w:tcBorders>
            <w:vAlign w:val="center"/>
          </w:tcPr>
          <w:p w14:paraId="0ED25826" w14:textId="77777777" w:rsidR="004266EA" w:rsidRPr="00521D07" w:rsidRDefault="004266EA" w:rsidP="00804480">
            <w:pPr>
              <w:widowControl w:val="0"/>
              <w:autoSpaceDE w:val="0"/>
              <w:autoSpaceDN w:val="0"/>
              <w:adjustRightInd w:val="0"/>
              <w:spacing w:after="0"/>
              <w:jc w:val="center"/>
              <w:rPr>
                <w:sz w:val="24"/>
                <w:szCs w:val="24"/>
              </w:rPr>
            </w:pPr>
            <w:r w:rsidRPr="00521D07">
              <w:rPr>
                <w:sz w:val="24"/>
                <w:szCs w:val="24"/>
              </w:rPr>
              <w:t>100,000</w:t>
            </w:r>
          </w:p>
        </w:tc>
        <w:tc>
          <w:tcPr>
            <w:tcW w:w="2693" w:type="dxa"/>
            <w:tcBorders>
              <w:bottom w:val="single" w:sz="6" w:space="0" w:color="auto"/>
            </w:tcBorders>
            <w:vAlign w:val="center"/>
          </w:tcPr>
          <w:p w14:paraId="06AAC4A3" w14:textId="3D2CC5E1" w:rsidR="004266EA" w:rsidRPr="004266EA" w:rsidRDefault="004266EA" w:rsidP="004266EA">
            <w:pPr>
              <w:widowControl w:val="0"/>
              <w:autoSpaceDE w:val="0"/>
              <w:autoSpaceDN w:val="0"/>
              <w:adjustRightInd w:val="0"/>
              <w:spacing w:after="0"/>
              <w:jc w:val="center"/>
              <w:rPr>
                <w:color w:val="4472C4" w:themeColor="accent1"/>
                <w:sz w:val="24"/>
                <w:szCs w:val="24"/>
              </w:rPr>
            </w:pPr>
            <w:r>
              <w:rPr>
                <w:color w:val="4472C4" w:themeColor="accent1"/>
                <w:sz w:val="24"/>
                <w:szCs w:val="24"/>
              </w:rPr>
              <w:t>…</w:t>
            </w:r>
          </w:p>
        </w:tc>
      </w:tr>
    </w:tbl>
    <w:p w14:paraId="79820421" w14:textId="70E98B2D" w:rsidR="004266EA" w:rsidRPr="004266EA" w:rsidRDefault="004266EA" w:rsidP="004266EA">
      <w:pPr>
        <w:widowControl w:val="0"/>
        <w:autoSpaceDE w:val="0"/>
        <w:autoSpaceDN w:val="0"/>
        <w:adjustRightInd w:val="0"/>
        <w:spacing w:before="60"/>
        <w:ind w:left="349"/>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P</m:t>
          </m:r>
          <m:sSub>
            <m:sSubPr>
              <m:ctrlPr>
                <w:rPr>
                  <w:rFonts w:ascii="Cambria Math" w:eastAsia="Calibri" w:hAnsi="Cambria Math"/>
                  <w:i/>
                  <w:color w:val="4472C4" w:themeColor="accent1"/>
                  <w:sz w:val="24"/>
                  <w:szCs w:val="18"/>
                </w:rPr>
              </m:ctrlPr>
            </m:sSubPr>
            <m:e>
              <m:r>
                <w:rPr>
                  <w:rFonts w:ascii="Cambria Math" w:eastAsia="Calibri" w:hAnsi="Cambria Math"/>
                  <w:color w:val="4472C4" w:themeColor="accent1"/>
                  <w:sz w:val="24"/>
                  <w:szCs w:val="18"/>
                </w:rPr>
                <m:t>P</m:t>
              </m:r>
            </m:e>
            <m:sub>
              <m:r>
                <w:rPr>
                  <w:rFonts w:ascii="Cambria Math" w:eastAsia="Calibri" w:hAnsi="Cambria Math"/>
                  <w:color w:val="4472C4" w:themeColor="accent1"/>
                  <w:sz w:val="24"/>
                  <w:szCs w:val="18"/>
                </w:rPr>
                <m:t>PC</m:t>
              </m:r>
            </m:sub>
          </m:sSub>
          <m:r>
            <w:rPr>
              <w:rFonts w:ascii="Cambria Math" w:eastAsia="Calibri" w:hAnsi="Cambria Math"/>
              <w:color w:val="4472C4" w:themeColor="accent1"/>
              <w:sz w:val="24"/>
              <w:szCs w:val="18"/>
            </w:rPr>
            <m:t>=0+</m:t>
          </m:r>
          <m:f>
            <m:fPr>
              <m:ctrlPr>
                <w:rPr>
                  <w:rFonts w:ascii="Cambria Math" w:eastAsia="Calibri" w:hAnsi="Cambria Math"/>
                  <w:i/>
                  <w:color w:val="4472C4" w:themeColor="accent1"/>
                  <w:sz w:val="24"/>
                  <w:szCs w:val="18"/>
                </w:rPr>
              </m:ctrlPr>
            </m:fPr>
            <m:num>
              <m:d>
                <m:dPr>
                  <m:begChr m:val="|"/>
                  <m:endChr m:val="|"/>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-200,000</m:t>
                  </m:r>
                </m:e>
              </m:d>
            </m:num>
            <m:den>
              <m:r>
                <w:rPr>
                  <w:rFonts w:ascii="Cambria Math" w:eastAsia="Calibri" w:hAnsi="Cambria Math"/>
                  <w:color w:val="4472C4" w:themeColor="accent1"/>
                  <w:sz w:val="24"/>
                  <w:szCs w:val="18"/>
                </w:rPr>
                <m:t>300,000</m:t>
              </m:r>
            </m:den>
          </m:f>
          <m:r>
            <w:rPr>
              <w:rFonts w:ascii="Cambria Math" w:eastAsia="Calibri" w:hAnsi="Cambria Math"/>
              <w:color w:val="4472C4" w:themeColor="accent1"/>
              <w:sz w:val="24"/>
              <w:szCs w:val="18"/>
            </w:rPr>
            <m:t xml:space="preserve">=0.67 </m:t>
          </m:r>
          <m:r>
            <m:rPr>
              <m:sty m:val="p"/>
            </m:rPr>
            <w:rPr>
              <w:rFonts w:ascii="Cambria Math" w:eastAsia="Calibri" w:hAnsi="Cambria Math"/>
              <w:color w:val="4472C4" w:themeColor="accent1"/>
              <w:sz w:val="24"/>
              <w:szCs w:val="18"/>
            </w:rPr>
            <m:t>years</m:t>
          </m:r>
        </m:oMath>
      </m:oMathPara>
    </w:p>
    <w:tbl>
      <w:tblPr>
        <w:tblW w:w="0" w:type="auto"/>
        <w:tblInd w:w="426" w:type="dxa"/>
        <w:tblLayout w:type="fixed"/>
        <w:tblCellMar>
          <w:left w:w="0" w:type="dxa"/>
          <w:right w:w="0" w:type="dxa"/>
        </w:tblCellMar>
        <w:tblLook w:val="0000" w:firstRow="0" w:lastRow="0" w:firstColumn="0" w:lastColumn="0" w:noHBand="0" w:noVBand="0"/>
      </w:tblPr>
      <w:tblGrid>
        <w:gridCol w:w="567"/>
        <w:gridCol w:w="2693"/>
        <w:gridCol w:w="2693"/>
      </w:tblGrid>
      <w:tr w:rsidR="004266EA" w:rsidRPr="00521D07" w14:paraId="437B2AA0" w14:textId="77777777" w:rsidTr="00804480">
        <w:tc>
          <w:tcPr>
            <w:tcW w:w="567" w:type="dxa"/>
            <w:tcBorders>
              <w:bottom w:val="single" w:sz="12" w:space="0" w:color="auto"/>
            </w:tcBorders>
          </w:tcPr>
          <w:p w14:paraId="4ADEA353" w14:textId="77777777" w:rsidR="004266EA" w:rsidRPr="00521D07" w:rsidRDefault="004266EA" w:rsidP="00804480">
            <w:pPr>
              <w:widowControl w:val="0"/>
              <w:autoSpaceDE w:val="0"/>
              <w:autoSpaceDN w:val="0"/>
              <w:adjustRightInd w:val="0"/>
              <w:spacing w:after="0"/>
              <w:jc w:val="both"/>
              <w:rPr>
                <w:b/>
                <w:bCs/>
                <w:sz w:val="24"/>
                <w:szCs w:val="24"/>
              </w:rPr>
            </w:pPr>
            <w:r w:rsidRPr="00521D07">
              <w:rPr>
                <w:b/>
                <w:bCs/>
                <w:sz w:val="24"/>
                <w:szCs w:val="24"/>
              </w:rPr>
              <w:t>Year</w:t>
            </w:r>
          </w:p>
        </w:tc>
        <w:tc>
          <w:tcPr>
            <w:tcW w:w="2693" w:type="dxa"/>
            <w:tcBorders>
              <w:bottom w:val="single" w:sz="12" w:space="0" w:color="auto"/>
            </w:tcBorders>
            <w:vAlign w:val="center"/>
          </w:tcPr>
          <w:p w14:paraId="5A2C772D" w14:textId="22FB1121" w:rsidR="004266EA" w:rsidRPr="00521D07" w:rsidRDefault="004266EA" w:rsidP="00804480">
            <w:pPr>
              <w:widowControl w:val="0"/>
              <w:autoSpaceDE w:val="0"/>
              <w:autoSpaceDN w:val="0"/>
              <w:adjustRightInd w:val="0"/>
              <w:spacing w:after="0"/>
              <w:jc w:val="center"/>
              <w:rPr>
                <w:b/>
                <w:bCs/>
                <w:sz w:val="24"/>
                <w:szCs w:val="24"/>
              </w:rPr>
            </w:pPr>
            <w:r>
              <w:rPr>
                <w:b/>
                <w:bCs/>
                <w:sz w:val="24"/>
                <w:szCs w:val="24"/>
              </w:rPr>
              <w:t>SUV</w:t>
            </w:r>
          </w:p>
        </w:tc>
        <w:tc>
          <w:tcPr>
            <w:tcW w:w="2693" w:type="dxa"/>
            <w:tcBorders>
              <w:bottom w:val="single" w:sz="12" w:space="0" w:color="auto"/>
            </w:tcBorders>
          </w:tcPr>
          <w:p w14:paraId="76E4D2E2" w14:textId="66674196" w:rsidR="004266EA" w:rsidRPr="004266EA" w:rsidRDefault="004266EA" w:rsidP="00804480">
            <w:pPr>
              <w:widowControl w:val="0"/>
              <w:autoSpaceDE w:val="0"/>
              <w:autoSpaceDN w:val="0"/>
              <w:adjustRightInd w:val="0"/>
              <w:spacing w:after="0"/>
              <w:jc w:val="center"/>
              <w:rPr>
                <w:b/>
                <w:bCs/>
                <w:color w:val="4472C4" w:themeColor="accent1"/>
                <w:sz w:val="24"/>
                <w:szCs w:val="24"/>
              </w:rPr>
            </w:pPr>
            <w:r w:rsidRPr="004266EA">
              <w:rPr>
                <w:b/>
                <w:bCs/>
                <w:color w:val="4472C4" w:themeColor="accent1"/>
                <w:sz w:val="24"/>
                <w:szCs w:val="24"/>
              </w:rPr>
              <w:t>C</w:t>
            </w:r>
            <w:r>
              <w:rPr>
                <w:b/>
                <w:bCs/>
                <w:color w:val="4472C4" w:themeColor="accent1"/>
                <w:sz w:val="24"/>
                <w:szCs w:val="24"/>
              </w:rPr>
              <w:t xml:space="preserve">umulative </w:t>
            </w:r>
            <w:r w:rsidR="00D7006F">
              <w:rPr>
                <w:b/>
                <w:bCs/>
                <w:color w:val="4472C4" w:themeColor="accent1"/>
                <w:sz w:val="24"/>
                <w:szCs w:val="24"/>
              </w:rPr>
              <w:t>C</w:t>
            </w:r>
            <w:r>
              <w:rPr>
                <w:b/>
                <w:bCs/>
                <w:color w:val="4472C4" w:themeColor="accent1"/>
                <w:sz w:val="24"/>
                <w:szCs w:val="24"/>
              </w:rPr>
              <w:t>F</w:t>
            </w:r>
          </w:p>
        </w:tc>
      </w:tr>
      <w:tr w:rsidR="004266EA" w:rsidRPr="00521D07" w14:paraId="19EA4D39" w14:textId="77777777" w:rsidTr="00804480">
        <w:tc>
          <w:tcPr>
            <w:tcW w:w="567" w:type="dxa"/>
            <w:tcBorders>
              <w:top w:val="single" w:sz="12" w:space="0" w:color="auto"/>
            </w:tcBorders>
          </w:tcPr>
          <w:p w14:paraId="671F2625" w14:textId="77777777" w:rsidR="004266EA" w:rsidRPr="00521D07" w:rsidRDefault="004266EA" w:rsidP="004266EA">
            <w:pPr>
              <w:widowControl w:val="0"/>
              <w:autoSpaceDE w:val="0"/>
              <w:autoSpaceDN w:val="0"/>
              <w:adjustRightInd w:val="0"/>
              <w:spacing w:after="0"/>
              <w:jc w:val="both"/>
              <w:rPr>
                <w:b/>
                <w:sz w:val="24"/>
                <w:szCs w:val="24"/>
              </w:rPr>
            </w:pPr>
            <w:r w:rsidRPr="00521D07">
              <w:rPr>
                <w:b/>
                <w:sz w:val="24"/>
                <w:szCs w:val="24"/>
              </w:rPr>
              <w:t>0</w:t>
            </w:r>
          </w:p>
        </w:tc>
        <w:tc>
          <w:tcPr>
            <w:tcW w:w="2693" w:type="dxa"/>
            <w:tcBorders>
              <w:top w:val="single" w:sz="12" w:space="0" w:color="auto"/>
            </w:tcBorders>
            <w:vAlign w:val="center"/>
          </w:tcPr>
          <w:p w14:paraId="31075A78" w14:textId="2EE98140" w:rsidR="004266EA" w:rsidRPr="00521D07" w:rsidRDefault="004266EA" w:rsidP="004266EA">
            <w:pPr>
              <w:widowControl w:val="0"/>
              <w:autoSpaceDE w:val="0"/>
              <w:autoSpaceDN w:val="0"/>
              <w:adjustRightInd w:val="0"/>
              <w:spacing w:after="0"/>
              <w:jc w:val="center"/>
              <w:rPr>
                <w:sz w:val="24"/>
                <w:szCs w:val="24"/>
              </w:rPr>
            </w:pPr>
            <w:r w:rsidRPr="00521D07">
              <w:rPr>
                <w:sz w:val="24"/>
                <w:szCs w:val="24"/>
              </w:rPr>
              <w:t>-€500,000</w:t>
            </w:r>
          </w:p>
        </w:tc>
        <w:tc>
          <w:tcPr>
            <w:tcW w:w="2693" w:type="dxa"/>
            <w:tcBorders>
              <w:top w:val="single" w:sz="12" w:space="0" w:color="auto"/>
            </w:tcBorders>
          </w:tcPr>
          <w:p w14:paraId="02267F32" w14:textId="7C060F7F" w:rsidR="004266EA" w:rsidRPr="004266EA" w:rsidRDefault="004266EA" w:rsidP="004266EA">
            <w:pPr>
              <w:widowControl w:val="0"/>
              <w:autoSpaceDE w:val="0"/>
              <w:autoSpaceDN w:val="0"/>
              <w:adjustRightInd w:val="0"/>
              <w:spacing w:after="0"/>
              <w:jc w:val="center"/>
              <w:rPr>
                <w:color w:val="4472C4" w:themeColor="accent1"/>
                <w:sz w:val="24"/>
                <w:szCs w:val="24"/>
              </w:rPr>
            </w:pPr>
            <m:oMathPara>
              <m:oMath>
                <m:r>
                  <w:rPr>
                    <w:rFonts w:ascii="Cambria Math" w:hAnsi="Cambria Math"/>
                    <w:color w:val="4472C4" w:themeColor="accent1"/>
                    <w:sz w:val="24"/>
                    <w:szCs w:val="24"/>
                  </w:rPr>
                  <m:t>-500,000</m:t>
                </m:r>
              </m:oMath>
            </m:oMathPara>
          </w:p>
        </w:tc>
      </w:tr>
      <w:tr w:rsidR="004266EA" w:rsidRPr="00521D07" w14:paraId="056F177F" w14:textId="77777777" w:rsidTr="00804480">
        <w:tc>
          <w:tcPr>
            <w:tcW w:w="567" w:type="dxa"/>
          </w:tcPr>
          <w:p w14:paraId="4CA1560E" w14:textId="77777777" w:rsidR="004266EA" w:rsidRPr="00521D07" w:rsidRDefault="004266EA" w:rsidP="004266EA">
            <w:pPr>
              <w:widowControl w:val="0"/>
              <w:autoSpaceDE w:val="0"/>
              <w:autoSpaceDN w:val="0"/>
              <w:adjustRightInd w:val="0"/>
              <w:spacing w:after="0"/>
              <w:jc w:val="both"/>
              <w:rPr>
                <w:b/>
                <w:sz w:val="24"/>
                <w:szCs w:val="24"/>
              </w:rPr>
            </w:pPr>
            <w:r w:rsidRPr="00521D07">
              <w:rPr>
                <w:b/>
                <w:sz w:val="24"/>
                <w:szCs w:val="24"/>
              </w:rPr>
              <w:t>1</w:t>
            </w:r>
          </w:p>
        </w:tc>
        <w:tc>
          <w:tcPr>
            <w:tcW w:w="2693" w:type="dxa"/>
            <w:vAlign w:val="center"/>
          </w:tcPr>
          <w:p w14:paraId="646F3977" w14:textId="3D8F811D" w:rsidR="004266EA" w:rsidRPr="00521D07" w:rsidRDefault="004266EA" w:rsidP="004266EA">
            <w:pPr>
              <w:widowControl w:val="0"/>
              <w:autoSpaceDE w:val="0"/>
              <w:autoSpaceDN w:val="0"/>
              <w:adjustRightInd w:val="0"/>
              <w:spacing w:after="0"/>
              <w:jc w:val="center"/>
              <w:rPr>
                <w:sz w:val="24"/>
                <w:szCs w:val="24"/>
              </w:rPr>
            </w:pPr>
            <w:r w:rsidRPr="00521D07">
              <w:rPr>
                <w:sz w:val="24"/>
                <w:szCs w:val="24"/>
              </w:rPr>
              <w:t>300,000</w:t>
            </w:r>
          </w:p>
        </w:tc>
        <w:tc>
          <w:tcPr>
            <w:tcW w:w="2693" w:type="dxa"/>
          </w:tcPr>
          <w:p w14:paraId="19FC7707" w14:textId="648CED30" w:rsidR="004266EA" w:rsidRPr="004266EA" w:rsidRDefault="004266EA" w:rsidP="004266EA">
            <w:pPr>
              <w:widowControl w:val="0"/>
              <w:autoSpaceDE w:val="0"/>
              <w:autoSpaceDN w:val="0"/>
              <w:adjustRightInd w:val="0"/>
              <w:spacing w:after="0"/>
              <w:jc w:val="center"/>
              <w:rPr>
                <w:color w:val="4472C4" w:themeColor="accent1"/>
                <w:sz w:val="24"/>
                <w:szCs w:val="24"/>
              </w:rPr>
            </w:pPr>
            <m:oMathPara>
              <m:oMath>
                <m:r>
                  <w:rPr>
                    <w:rFonts w:ascii="Cambria Math" w:hAnsi="Cambria Math"/>
                    <w:color w:val="4472C4" w:themeColor="accent1"/>
                    <w:sz w:val="24"/>
                    <w:szCs w:val="24"/>
                  </w:rPr>
                  <m:t>-200,000</m:t>
                </m:r>
              </m:oMath>
            </m:oMathPara>
          </w:p>
        </w:tc>
      </w:tr>
      <w:tr w:rsidR="004266EA" w:rsidRPr="00521D07" w14:paraId="68CDF0FF" w14:textId="77777777" w:rsidTr="00804480">
        <w:tc>
          <w:tcPr>
            <w:tcW w:w="567" w:type="dxa"/>
          </w:tcPr>
          <w:p w14:paraId="11E50F59" w14:textId="77777777" w:rsidR="004266EA" w:rsidRPr="00521D07" w:rsidRDefault="004266EA" w:rsidP="004266EA">
            <w:pPr>
              <w:widowControl w:val="0"/>
              <w:autoSpaceDE w:val="0"/>
              <w:autoSpaceDN w:val="0"/>
              <w:adjustRightInd w:val="0"/>
              <w:spacing w:after="0"/>
              <w:jc w:val="both"/>
              <w:rPr>
                <w:b/>
                <w:sz w:val="24"/>
                <w:szCs w:val="24"/>
              </w:rPr>
            </w:pPr>
            <w:r w:rsidRPr="00521D07">
              <w:rPr>
                <w:b/>
                <w:sz w:val="24"/>
                <w:szCs w:val="24"/>
              </w:rPr>
              <w:t>2</w:t>
            </w:r>
          </w:p>
        </w:tc>
        <w:tc>
          <w:tcPr>
            <w:tcW w:w="2693" w:type="dxa"/>
            <w:vAlign w:val="center"/>
          </w:tcPr>
          <w:p w14:paraId="1B8A8341" w14:textId="02BE5DED" w:rsidR="004266EA" w:rsidRPr="00521D07" w:rsidRDefault="004266EA" w:rsidP="004266EA">
            <w:pPr>
              <w:widowControl w:val="0"/>
              <w:autoSpaceDE w:val="0"/>
              <w:autoSpaceDN w:val="0"/>
              <w:adjustRightInd w:val="0"/>
              <w:spacing w:after="0"/>
              <w:jc w:val="center"/>
              <w:rPr>
                <w:sz w:val="24"/>
                <w:szCs w:val="24"/>
              </w:rPr>
            </w:pPr>
            <w:r w:rsidRPr="00521D07">
              <w:rPr>
                <w:sz w:val="24"/>
                <w:szCs w:val="24"/>
              </w:rPr>
              <w:t>250,000</w:t>
            </w:r>
          </w:p>
        </w:tc>
        <w:tc>
          <w:tcPr>
            <w:tcW w:w="2693" w:type="dxa"/>
          </w:tcPr>
          <w:p w14:paraId="2BDA17C0" w14:textId="717ACADD" w:rsidR="004266EA" w:rsidRPr="004266EA" w:rsidRDefault="004266EA" w:rsidP="004266EA">
            <w:pPr>
              <w:widowControl w:val="0"/>
              <w:autoSpaceDE w:val="0"/>
              <w:autoSpaceDN w:val="0"/>
              <w:adjustRightInd w:val="0"/>
              <w:spacing w:after="0"/>
              <w:jc w:val="center"/>
              <w:rPr>
                <w:color w:val="4472C4" w:themeColor="accent1"/>
                <w:sz w:val="24"/>
                <w:szCs w:val="24"/>
              </w:rPr>
            </w:pPr>
            <m:oMathPara>
              <m:oMath>
                <m:r>
                  <w:rPr>
                    <w:rFonts w:ascii="Cambria Math" w:hAnsi="Cambria Math"/>
                    <w:color w:val="4472C4" w:themeColor="accent1"/>
                    <w:sz w:val="24"/>
                    <w:szCs w:val="24"/>
                  </w:rPr>
                  <m:t>50,000</m:t>
                </m:r>
              </m:oMath>
            </m:oMathPara>
          </w:p>
        </w:tc>
      </w:tr>
      <w:tr w:rsidR="004266EA" w:rsidRPr="00521D07" w14:paraId="0644F5BF" w14:textId="77777777" w:rsidTr="00804480">
        <w:tc>
          <w:tcPr>
            <w:tcW w:w="567" w:type="dxa"/>
            <w:tcBorders>
              <w:bottom w:val="single" w:sz="6" w:space="0" w:color="auto"/>
            </w:tcBorders>
          </w:tcPr>
          <w:p w14:paraId="3FA35515" w14:textId="77777777" w:rsidR="004266EA" w:rsidRPr="00521D07" w:rsidRDefault="004266EA" w:rsidP="004266EA">
            <w:pPr>
              <w:widowControl w:val="0"/>
              <w:autoSpaceDE w:val="0"/>
              <w:autoSpaceDN w:val="0"/>
              <w:adjustRightInd w:val="0"/>
              <w:spacing w:after="0"/>
              <w:jc w:val="both"/>
              <w:rPr>
                <w:b/>
                <w:sz w:val="24"/>
                <w:szCs w:val="24"/>
              </w:rPr>
            </w:pPr>
            <w:r w:rsidRPr="00521D07">
              <w:rPr>
                <w:b/>
                <w:sz w:val="24"/>
                <w:szCs w:val="24"/>
              </w:rPr>
              <w:t>3</w:t>
            </w:r>
          </w:p>
        </w:tc>
        <w:tc>
          <w:tcPr>
            <w:tcW w:w="2693" w:type="dxa"/>
            <w:tcBorders>
              <w:bottom w:val="single" w:sz="6" w:space="0" w:color="auto"/>
            </w:tcBorders>
            <w:vAlign w:val="center"/>
          </w:tcPr>
          <w:p w14:paraId="7803D66D" w14:textId="367B5566" w:rsidR="004266EA" w:rsidRPr="00521D07" w:rsidRDefault="004266EA" w:rsidP="004266EA">
            <w:pPr>
              <w:widowControl w:val="0"/>
              <w:autoSpaceDE w:val="0"/>
              <w:autoSpaceDN w:val="0"/>
              <w:adjustRightInd w:val="0"/>
              <w:spacing w:after="0"/>
              <w:jc w:val="center"/>
              <w:rPr>
                <w:sz w:val="24"/>
                <w:szCs w:val="24"/>
              </w:rPr>
            </w:pPr>
            <w:r w:rsidRPr="00521D07">
              <w:rPr>
                <w:sz w:val="24"/>
                <w:szCs w:val="24"/>
              </w:rPr>
              <w:t>250,000</w:t>
            </w:r>
          </w:p>
        </w:tc>
        <w:tc>
          <w:tcPr>
            <w:tcW w:w="2693" w:type="dxa"/>
            <w:tcBorders>
              <w:bottom w:val="single" w:sz="6" w:space="0" w:color="auto"/>
            </w:tcBorders>
          </w:tcPr>
          <w:p w14:paraId="4645FE98" w14:textId="77777777" w:rsidR="004266EA" w:rsidRPr="004266EA" w:rsidRDefault="004266EA" w:rsidP="004266EA">
            <w:pPr>
              <w:widowControl w:val="0"/>
              <w:autoSpaceDE w:val="0"/>
              <w:autoSpaceDN w:val="0"/>
              <w:adjustRightInd w:val="0"/>
              <w:spacing w:after="0"/>
              <w:jc w:val="center"/>
              <w:rPr>
                <w:color w:val="4472C4" w:themeColor="accent1"/>
                <w:sz w:val="24"/>
                <w:szCs w:val="24"/>
              </w:rPr>
            </w:pPr>
            <w:r>
              <w:rPr>
                <w:color w:val="4472C4" w:themeColor="accent1"/>
                <w:sz w:val="24"/>
                <w:szCs w:val="24"/>
              </w:rPr>
              <w:t>…</w:t>
            </w:r>
          </w:p>
        </w:tc>
      </w:tr>
    </w:tbl>
    <w:p w14:paraId="1E9462C7" w14:textId="5A2A781C" w:rsidR="004266EA" w:rsidRPr="004266EA" w:rsidRDefault="004266EA" w:rsidP="004266EA">
      <w:pPr>
        <w:widowControl w:val="0"/>
        <w:autoSpaceDE w:val="0"/>
        <w:autoSpaceDN w:val="0"/>
        <w:adjustRightInd w:val="0"/>
        <w:spacing w:before="60"/>
        <w:ind w:left="349"/>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P</m:t>
          </m:r>
          <m:sSub>
            <m:sSubPr>
              <m:ctrlPr>
                <w:rPr>
                  <w:rFonts w:ascii="Cambria Math" w:eastAsia="Calibri" w:hAnsi="Cambria Math"/>
                  <w:i/>
                  <w:color w:val="4472C4" w:themeColor="accent1"/>
                  <w:sz w:val="24"/>
                  <w:szCs w:val="18"/>
                </w:rPr>
              </m:ctrlPr>
            </m:sSubPr>
            <m:e>
              <m:r>
                <w:rPr>
                  <w:rFonts w:ascii="Cambria Math" w:eastAsia="Calibri" w:hAnsi="Cambria Math"/>
                  <w:color w:val="4472C4" w:themeColor="accent1"/>
                  <w:sz w:val="24"/>
                  <w:szCs w:val="18"/>
                </w:rPr>
                <m:t>P</m:t>
              </m:r>
            </m:e>
            <m:sub>
              <m:r>
                <w:rPr>
                  <w:rFonts w:ascii="Cambria Math" w:eastAsia="Calibri" w:hAnsi="Cambria Math"/>
                  <w:color w:val="4472C4" w:themeColor="accent1"/>
                  <w:sz w:val="24"/>
                  <w:szCs w:val="18"/>
                </w:rPr>
                <m:t>SUV</m:t>
              </m:r>
            </m:sub>
          </m:sSub>
          <m:r>
            <w:rPr>
              <w:rFonts w:ascii="Cambria Math" w:eastAsia="Calibri" w:hAnsi="Cambria Math"/>
              <w:color w:val="4472C4" w:themeColor="accent1"/>
              <w:sz w:val="24"/>
              <w:szCs w:val="18"/>
            </w:rPr>
            <m:t>=1+</m:t>
          </m:r>
          <m:f>
            <m:fPr>
              <m:ctrlPr>
                <w:rPr>
                  <w:rFonts w:ascii="Cambria Math" w:eastAsia="Calibri" w:hAnsi="Cambria Math"/>
                  <w:i/>
                  <w:color w:val="4472C4" w:themeColor="accent1"/>
                  <w:sz w:val="24"/>
                  <w:szCs w:val="18"/>
                </w:rPr>
              </m:ctrlPr>
            </m:fPr>
            <m:num>
              <m:d>
                <m:dPr>
                  <m:begChr m:val="|"/>
                  <m:endChr m:val="|"/>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-200,000</m:t>
                  </m:r>
                </m:e>
              </m:d>
            </m:num>
            <m:den>
              <m:r>
                <w:rPr>
                  <w:rFonts w:ascii="Cambria Math" w:eastAsia="Calibri" w:hAnsi="Cambria Math"/>
                  <w:color w:val="4472C4" w:themeColor="accent1"/>
                  <w:sz w:val="24"/>
                  <w:szCs w:val="18"/>
                </w:rPr>
                <m:t>250,000</m:t>
              </m:r>
            </m:den>
          </m:f>
          <m:r>
            <w:rPr>
              <w:rFonts w:ascii="Cambria Math" w:eastAsia="Calibri" w:hAnsi="Cambria Math"/>
              <w:color w:val="4472C4" w:themeColor="accent1"/>
              <w:sz w:val="24"/>
              <w:szCs w:val="18"/>
            </w:rPr>
            <m:t xml:space="preserve">=1.80 </m:t>
          </m:r>
          <m:r>
            <m:rPr>
              <m:sty m:val="p"/>
            </m:rPr>
            <w:rPr>
              <w:rFonts w:ascii="Cambria Math" w:eastAsia="Calibri" w:hAnsi="Cambria Math"/>
              <w:color w:val="4472C4" w:themeColor="accent1"/>
              <w:sz w:val="24"/>
              <w:szCs w:val="18"/>
            </w:rPr>
            <m:t>years</m:t>
          </m:r>
        </m:oMath>
      </m:oMathPara>
    </w:p>
    <w:p w14:paraId="23172B23" w14:textId="0203DD09" w:rsidR="004266EA" w:rsidRPr="00D7006F" w:rsidRDefault="00D7006F" w:rsidP="00083246">
      <w:pPr>
        <w:pStyle w:val="ListParagraph"/>
        <w:widowControl w:val="0"/>
        <w:autoSpaceDE w:val="0"/>
        <w:autoSpaceDN w:val="0"/>
        <w:adjustRightInd w:val="0"/>
        <w:spacing w:before="60"/>
        <w:ind w:left="360"/>
        <w:jc w:val="both"/>
        <w:rPr>
          <w:rFonts w:eastAsia="Calibri"/>
          <w:color w:val="4472C4" w:themeColor="accent1"/>
          <w:sz w:val="24"/>
          <w:szCs w:val="18"/>
        </w:rPr>
      </w:pPr>
      <w:r w:rsidRPr="00D7006F">
        <w:rPr>
          <w:rFonts w:eastAsia="Calibri"/>
          <w:color w:val="4472C4" w:themeColor="accent1"/>
          <w:sz w:val="24"/>
          <w:szCs w:val="18"/>
        </w:rPr>
        <w:t>Since the People Carrier has a shorter payback period than the SUV, the company should choose the People Carrier.</w:t>
      </w:r>
    </w:p>
    <w:p w14:paraId="6943408A" w14:textId="77777777" w:rsidR="00D7006F" w:rsidRPr="00D7006F" w:rsidRDefault="00D7006F" w:rsidP="00D7006F">
      <w:pPr>
        <w:pStyle w:val="ListParagraph"/>
        <w:widowControl w:val="0"/>
        <w:autoSpaceDE w:val="0"/>
        <w:autoSpaceDN w:val="0"/>
        <w:adjustRightInd w:val="0"/>
        <w:spacing w:before="60"/>
        <w:ind w:left="644"/>
        <w:jc w:val="both"/>
        <w:rPr>
          <w:rFonts w:eastAsia="Calibri"/>
          <w:color w:val="4472C4" w:themeColor="accent1"/>
          <w:sz w:val="24"/>
          <w:szCs w:val="18"/>
        </w:rPr>
      </w:pPr>
    </w:p>
    <w:p w14:paraId="4EF4DB44" w14:textId="77777777" w:rsidR="00D7006F" w:rsidRPr="00D7006F" w:rsidRDefault="00D7006F" w:rsidP="00D7006F">
      <w:pPr>
        <w:pStyle w:val="ListParagraph"/>
        <w:widowControl w:val="0"/>
        <w:autoSpaceDE w:val="0"/>
        <w:autoSpaceDN w:val="0"/>
        <w:adjustRightInd w:val="0"/>
        <w:spacing w:before="60"/>
        <w:ind w:left="644"/>
        <w:jc w:val="both"/>
        <w:rPr>
          <w:rFonts w:eastAsia="Calibri"/>
          <w:color w:val="4472C4" w:themeColor="accent1"/>
          <w:sz w:val="24"/>
          <w:szCs w:val="18"/>
        </w:rPr>
      </w:pPr>
    </w:p>
    <w:p w14:paraId="376D12E5" w14:textId="34D89574" w:rsidR="00A70835" w:rsidRDefault="00A70835" w:rsidP="00A70835">
      <w:pPr>
        <w:pStyle w:val="ListParagraph"/>
        <w:widowControl w:val="0"/>
        <w:numPr>
          <w:ilvl w:val="0"/>
          <w:numId w:val="26"/>
        </w:numPr>
        <w:autoSpaceDE w:val="0"/>
        <w:autoSpaceDN w:val="0"/>
        <w:adjustRightInd w:val="0"/>
        <w:spacing w:before="60"/>
        <w:ind w:left="709"/>
        <w:jc w:val="both"/>
        <w:rPr>
          <w:rFonts w:eastAsia="Calibri"/>
          <w:sz w:val="24"/>
          <w:szCs w:val="18"/>
        </w:rPr>
      </w:pPr>
      <w:r w:rsidRPr="00A70835">
        <w:rPr>
          <w:rFonts w:eastAsia="Calibri"/>
          <w:sz w:val="24"/>
          <w:szCs w:val="18"/>
        </w:rPr>
        <w:t>Based on the NPV, which project should be taken?</w:t>
      </w:r>
    </w:p>
    <w:p w14:paraId="2901A628" w14:textId="062B8456" w:rsidR="0066072F" w:rsidRDefault="0066072F" w:rsidP="00D7006F">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We already have the discounted cash flows from question b).</w:t>
      </w:r>
    </w:p>
    <w:p w14:paraId="21DD4539" w14:textId="4E7CE8F4" w:rsidR="00D7006F" w:rsidRDefault="00D7006F" w:rsidP="00D7006F">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Using the NPV rule, we have:</w:t>
      </w:r>
    </w:p>
    <w:p w14:paraId="07F34102" w14:textId="74B8FD69" w:rsidR="00D7006F" w:rsidRPr="0066072F" w:rsidRDefault="00D7006F" w:rsidP="0066072F">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NP</m:t>
          </m:r>
          <m:sSub>
            <m:sSubPr>
              <m:ctrlPr>
                <w:rPr>
                  <w:rFonts w:ascii="Cambria Math" w:eastAsia="Calibri" w:hAnsi="Cambria Math"/>
                  <w:i/>
                  <w:color w:val="4472C4" w:themeColor="accent1"/>
                  <w:sz w:val="24"/>
                  <w:szCs w:val="18"/>
                </w:rPr>
              </m:ctrlPr>
            </m:sSubPr>
            <m:e>
              <m:r>
                <w:rPr>
                  <w:rFonts w:ascii="Cambria Math" w:eastAsia="Calibri" w:hAnsi="Cambria Math"/>
                  <w:color w:val="4472C4" w:themeColor="accent1"/>
                  <w:sz w:val="24"/>
                  <w:szCs w:val="18"/>
                </w:rPr>
                <m:t>V</m:t>
              </m:r>
            </m:e>
            <m:sub>
              <m:r>
                <w:rPr>
                  <w:rFonts w:ascii="Cambria Math" w:eastAsia="Calibri" w:hAnsi="Cambria Math"/>
                  <w:color w:val="4472C4" w:themeColor="accent1"/>
                  <w:sz w:val="24"/>
                  <w:szCs w:val="18"/>
                </w:rPr>
                <m:t>PC</m:t>
              </m:r>
            </m:sub>
          </m:sSub>
          <m:r>
            <w:rPr>
              <w:rFonts w:ascii="Cambria Math" w:eastAsia="Calibri" w:hAnsi="Cambria Math"/>
              <w:color w:val="4472C4" w:themeColor="accent1"/>
              <w:sz w:val="24"/>
              <w:szCs w:val="18"/>
            </w:rPr>
            <m:t>=-200,000+</m:t>
          </m:r>
          <m:r>
            <w:rPr>
              <w:rFonts w:ascii="Cambria Math" w:hAnsi="Cambria Math"/>
              <w:color w:val="4472C4" w:themeColor="accent1"/>
              <w:sz w:val="24"/>
              <w:szCs w:val="24"/>
            </w:rPr>
            <m:t>267,857.14</m:t>
          </m:r>
          <m:r>
            <w:rPr>
              <w:rFonts w:ascii="Cambria Math" w:eastAsia="Calibri" w:hAnsi="Cambria Math"/>
              <w:color w:val="4472C4" w:themeColor="accent1"/>
              <w:sz w:val="24"/>
              <w:szCs w:val="18"/>
            </w:rPr>
            <m:t>+</m:t>
          </m:r>
          <m:r>
            <w:rPr>
              <w:rFonts w:ascii="Cambria Math" w:hAnsi="Cambria Math"/>
              <w:color w:val="4472C4" w:themeColor="accent1"/>
              <w:sz w:val="24"/>
              <w:szCs w:val="24"/>
            </w:rPr>
            <m:t>79,719.39</m:t>
          </m:r>
          <m:r>
            <w:rPr>
              <w:rFonts w:ascii="Cambria Math" w:eastAsia="Calibri" w:hAnsi="Cambria Math"/>
              <w:color w:val="4472C4" w:themeColor="accent1"/>
              <w:sz w:val="24"/>
              <w:szCs w:val="18"/>
            </w:rPr>
            <m:t>+</m:t>
          </m:r>
          <m:r>
            <w:rPr>
              <w:rFonts w:ascii="Cambria Math" w:hAnsi="Cambria Math"/>
              <w:color w:val="4472C4" w:themeColor="accent1"/>
              <w:sz w:val="24"/>
              <w:szCs w:val="24"/>
            </w:rPr>
            <m:t>71,178.02</m:t>
          </m:r>
          <m:r>
            <w:rPr>
              <w:rFonts w:ascii="Cambria Math" w:eastAsia="Calibri" w:hAnsi="Cambria Math"/>
              <w:color w:val="4472C4" w:themeColor="accent1"/>
              <w:sz w:val="24"/>
              <w:szCs w:val="18"/>
            </w:rPr>
            <m:t>=$218,754.56</m:t>
          </m:r>
        </m:oMath>
      </m:oMathPara>
    </w:p>
    <w:p w14:paraId="01A6DA12" w14:textId="77777777" w:rsidR="00D7006F" w:rsidRDefault="00D7006F" w:rsidP="00D7006F">
      <w:pPr>
        <w:pStyle w:val="ListParagraph"/>
        <w:widowControl w:val="0"/>
        <w:autoSpaceDE w:val="0"/>
        <w:autoSpaceDN w:val="0"/>
        <w:adjustRightInd w:val="0"/>
        <w:spacing w:before="60"/>
        <w:ind w:left="284"/>
        <w:jc w:val="both"/>
        <w:rPr>
          <w:rFonts w:eastAsia="Calibri"/>
          <w:color w:val="4472C4" w:themeColor="accent1"/>
          <w:sz w:val="24"/>
          <w:szCs w:val="18"/>
        </w:rPr>
      </w:pPr>
    </w:p>
    <w:p w14:paraId="73EA4620" w14:textId="0AF3EAA1" w:rsidR="00D7006F" w:rsidRPr="0066072F" w:rsidRDefault="00D7006F" w:rsidP="0066072F">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NP</m:t>
          </m:r>
          <m:sSub>
            <m:sSubPr>
              <m:ctrlPr>
                <w:rPr>
                  <w:rFonts w:ascii="Cambria Math" w:eastAsia="Calibri" w:hAnsi="Cambria Math"/>
                  <w:i/>
                  <w:color w:val="4472C4" w:themeColor="accent1"/>
                  <w:sz w:val="24"/>
                  <w:szCs w:val="18"/>
                </w:rPr>
              </m:ctrlPr>
            </m:sSubPr>
            <m:e>
              <m:r>
                <w:rPr>
                  <w:rFonts w:ascii="Cambria Math" w:eastAsia="Calibri" w:hAnsi="Cambria Math"/>
                  <w:color w:val="4472C4" w:themeColor="accent1"/>
                  <w:sz w:val="24"/>
                  <w:szCs w:val="18"/>
                </w:rPr>
                <m:t>V</m:t>
              </m:r>
            </m:e>
            <m:sub>
              <m:r>
                <w:rPr>
                  <w:rFonts w:ascii="Cambria Math" w:eastAsia="Calibri" w:hAnsi="Cambria Math"/>
                  <w:color w:val="4472C4" w:themeColor="accent1"/>
                  <w:sz w:val="24"/>
                  <w:szCs w:val="18"/>
                </w:rPr>
                <m:t>SUV</m:t>
              </m:r>
            </m:sub>
          </m:sSub>
          <m:r>
            <w:rPr>
              <w:rFonts w:ascii="Cambria Math" w:eastAsia="Calibri" w:hAnsi="Cambria Math"/>
              <w:color w:val="4472C4" w:themeColor="accent1"/>
              <w:sz w:val="24"/>
              <w:szCs w:val="18"/>
            </w:rPr>
            <m:t>=-500,000+</m:t>
          </m:r>
          <m:r>
            <w:rPr>
              <w:rFonts w:ascii="Cambria Math" w:hAnsi="Cambria Math"/>
              <w:color w:val="4472C4" w:themeColor="accent1"/>
              <w:sz w:val="24"/>
              <w:szCs w:val="24"/>
            </w:rPr>
            <m:t>267,857.14</m:t>
          </m:r>
          <m:r>
            <w:rPr>
              <w:rFonts w:ascii="Cambria Math" w:eastAsia="Calibri" w:hAnsi="Cambria Math"/>
              <w:color w:val="4472C4" w:themeColor="accent1"/>
              <w:sz w:val="24"/>
              <w:szCs w:val="18"/>
            </w:rPr>
            <m:t>+</m:t>
          </m:r>
          <m:r>
            <w:rPr>
              <w:rFonts w:ascii="Cambria Math" w:hAnsi="Cambria Math"/>
              <w:color w:val="4472C4" w:themeColor="accent1"/>
              <w:sz w:val="24"/>
              <w:szCs w:val="24"/>
            </w:rPr>
            <m:t>199,298.47</m:t>
          </m:r>
          <m:r>
            <w:rPr>
              <w:rFonts w:ascii="Cambria Math" w:eastAsia="Calibri" w:hAnsi="Cambria Math"/>
              <w:color w:val="4472C4" w:themeColor="accent1"/>
              <w:sz w:val="24"/>
              <w:szCs w:val="18"/>
            </w:rPr>
            <m:t>+</m:t>
          </m:r>
          <m:r>
            <w:rPr>
              <w:rFonts w:ascii="Cambria Math" w:hAnsi="Cambria Math"/>
              <w:color w:val="4472C4" w:themeColor="accent1"/>
              <w:sz w:val="24"/>
              <w:szCs w:val="24"/>
            </w:rPr>
            <m:t>177,945.06</m:t>
          </m:r>
          <m:r>
            <w:rPr>
              <w:rFonts w:ascii="Cambria Math" w:eastAsia="Calibri" w:hAnsi="Cambria Math"/>
              <w:color w:val="4472C4" w:themeColor="accent1"/>
              <w:sz w:val="24"/>
              <w:szCs w:val="18"/>
            </w:rPr>
            <m:t>=$145,100.67</m:t>
          </m:r>
        </m:oMath>
      </m:oMathPara>
    </w:p>
    <w:p w14:paraId="4A7CD165" w14:textId="77777777" w:rsidR="0066072F" w:rsidRPr="0066072F" w:rsidRDefault="0066072F" w:rsidP="0066072F">
      <w:pPr>
        <w:pStyle w:val="ListParagraph"/>
        <w:widowControl w:val="0"/>
        <w:autoSpaceDE w:val="0"/>
        <w:autoSpaceDN w:val="0"/>
        <w:adjustRightInd w:val="0"/>
        <w:spacing w:before="60"/>
        <w:ind w:left="284"/>
        <w:jc w:val="both"/>
        <w:rPr>
          <w:rFonts w:eastAsia="Calibri"/>
          <w:color w:val="4472C4" w:themeColor="accent1"/>
          <w:sz w:val="24"/>
          <w:szCs w:val="18"/>
        </w:rPr>
      </w:pPr>
    </w:p>
    <w:p w14:paraId="3DE97EE2" w14:textId="46A2C466" w:rsidR="0066072F" w:rsidRPr="0066072F" w:rsidRDefault="0066072F" w:rsidP="00083246">
      <w:pPr>
        <w:pStyle w:val="ListParagraph"/>
        <w:widowControl w:val="0"/>
        <w:autoSpaceDE w:val="0"/>
        <w:autoSpaceDN w:val="0"/>
        <w:adjustRightInd w:val="0"/>
        <w:spacing w:before="60"/>
        <w:ind w:left="360"/>
        <w:jc w:val="both"/>
        <w:rPr>
          <w:rFonts w:eastAsia="Calibri"/>
          <w:color w:val="4472C4" w:themeColor="accent1"/>
          <w:sz w:val="24"/>
          <w:szCs w:val="18"/>
        </w:rPr>
      </w:pPr>
      <w:r w:rsidRPr="0066072F">
        <w:rPr>
          <w:rFonts w:eastAsia="Calibri"/>
          <w:color w:val="4472C4" w:themeColor="accent1"/>
          <w:sz w:val="24"/>
          <w:szCs w:val="18"/>
        </w:rPr>
        <w:t xml:space="preserve">Since the NPV of the People Carrier is greater than the NPV of the SUV, </w:t>
      </w:r>
      <w:r>
        <w:rPr>
          <w:rFonts w:eastAsia="Calibri"/>
          <w:color w:val="4472C4" w:themeColor="accent1"/>
          <w:sz w:val="24"/>
          <w:szCs w:val="18"/>
        </w:rPr>
        <w:t xml:space="preserve">the company should </w:t>
      </w:r>
      <w:r w:rsidRPr="0066072F">
        <w:rPr>
          <w:rFonts w:eastAsia="Calibri"/>
          <w:color w:val="4472C4" w:themeColor="accent1"/>
          <w:sz w:val="24"/>
          <w:szCs w:val="18"/>
        </w:rPr>
        <w:t>choose the People Carrier.</w:t>
      </w:r>
    </w:p>
    <w:p w14:paraId="6D55565E" w14:textId="77777777" w:rsidR="0066072F" w:rsidRPr="0066072F" w:rsidRDefault="0066072F" w:rsidP="0066072F">
      <w:pPr>
        <w:pStyle w:val="ListParagraph"/>
        <w:widowControl w:val="0"/>
        <w:autoSpaceDE w:val="0"/>
        <w:autoSpaceDN w:val="0"/>
        <w:adjustRightInd w:val="0"/>
        <w:spacing w:before="60"/>
        <w:ind w:left="644"/>
        <w:jc w:val="both"/>
        <w:rPr>
          <w:rFonts w:eastAsia="Calibri"/>
          <w:color w:val="4472C4" w:themeColor="accent1"/>
          <w:sz w:val="24"/>
          <w:szCs w:val="18"/>
        </w:rPr>
      </w:pPr>
    </w:p>
    <w:p w14:paraId="4C1BE329" w14:textId="5C84AC23" w:rsidR="00BE42F5" w:rsidRPr="00A70835" w:rsidRDefault="00A70835" w:rsidP="00A70835">
      <w:pPr>
        <w:pStyle w:val="ListParagraph"/>
        <w:widowControl w:val="0"/>
        <w:numPr>
          <w:ilvl w:val="0"/>
          <w:numId w:val="26"/>
        </w:numPr>
        <w:autoSpaceDE w:val="0"/>
        <w:autoSpaceDN w:val="0"/>
        <w:adjustRightInd w:val="0"/>
        <w:spacing w:before="60"/>
        <w:ind w:left="709"/>
        <w:jc w:val="both"/>
        <w:rPr>
          <w:rFonts w:eastAsia="Calibri"/>
          <w:sz w:val="24"/>
          <w:szCs w:val="18"/>
        </w:rPr>
      </w:pPr>
      <w:r w:rsidRPr="00A70835">
        <w:rPr>
          <w:rFonts w:eastAsia="Calibri"/>
          <w:sz w:val="24"/>
          <w:szCs w:val="18"/>
        </w:rPr>
        <w:t>Based on the IRR, which project should be taken?</w:t>
      </w:r>
    </w:p>
    <w:p w14:paraId="1FC86BA2" w14:textId="6F49DF51" w:rsidR="0066072F" w:rsidRDefault="0066072F" w:rsidP="0066072F">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Using the IRR rule, we have:</w:t>
      </w:r>
    </w:p>
    <w:p w14:paraId="318AF02C" w14:textId="506AE681" w:rsidR="0066072F" w:rsidRPr="0066072F" w:rsidRDefault="0066072F" w:rsidP="0066072F">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NP</m:t>
          </m:r>
          <m:sSub>
            <m:sSubPr>
              <m:ctrlPr>
                <w:rPr>
                  <w:rFonts w:ascii="Cambria Math" w:eastAsia="Calibri" w:hAnsi="Cambria Math"/>
                  <w:i/>
                  <w:color w:val="4472C4" w:themeColor="accent1"/>
                  <w:sz w:val="24"/>
                  <w:szCs w:val="18"/>
                </w:rPr>
              </m:ctrlPr>
            </m:sSubPr>
            <m:e>
              <m:r>
                <w:rPr>
                  <w:rFonts w:ascii="Cambria Math" w:eastAsia="Calibri" w:hAnsi="Cambria Math"/>
                  <w:color w:val="4472C4" w:themeColor="accent1"/>
                  <w:sz w:val="24"/>
                  <w:szCs w:val="18"/>
                </w:rPr>
                <m:t>V</m:t>
              </m:r>
            </m:e>
            <m:sub>
              <m:r>
                <w:rPr>
                  <w:rFonts w:ascii="Cambria Math" w:eastAsia="Calibri" w:hAnsi="Cambria Math"/>
                  <w:color w:val="4472C4" w:themeColor="accent1"/>
                  <w:sz w:val="24"/>
                  <w:szCs w:val="18"/>
                </w:rPr>
                <m:t>PC</m:t>
              </m:r>
            </m:sub>
          </m:sSub>
          <m:r>
            <w:rPr>
              <w:rFonts w:ascii="Cambria Math" w:eastAsia="Calibri" w:hAnsi="Cambria Math"/>
              <w:color w:val="4472C4" w:themeColor="accent1"/>
              <w:sz w:val="24"/>
              <w:szCs w:val="18"/>
            </w:rPr>
            <m:t>=-200,000+</m:t>
          </m:r>
          <m:r>
            <w:rPr>
              <w:rFonts w:ascii="Cambria Math" w:hAnsi="Cambria Math"/>
              <w:color w:val="4472C4" w:themeColor="accent1"/>
              <w:sz w:val="24"/>
              <w:szCs w:val="24"/>
            </w:rPr>
            <m:t>300,000×</m:t>
          </m:r>
          <m:sSup>
            <m:sSupPr>
              <m:ctrlPr>
                <w:rPr>
                  <w:rFonts w:ascii="Cambria Math" w:hAnsi="Cambria Math"/>
                  <w:i/>
                  <w:color w:val="4472C4" w:themeColor="accent1"/>
                  <w:sz w:val="24"/>
                  <w:szCs w:val="24"/>
                </w:rPr>
              </m:ctrlPr>
            </m:sSupPr>
            <m:e>
              <m:d>
                <m:dPr>
                  <m:ctrlPr>
                    <w:rPr>
                      <w:rFonts w:ascii="Cambria Math" w:hAnsi="Cambria Math"/>
                      <w:i/>
                      <w:color w:val="4472C4" w:themeColor="accent1"/>
                      <w:sz w:val="24"/>
                      <w:szCs w:val="24"/>
                    </w:rPr>
                  </m:ctrlPr>
                </m:dPr>
                <m:e>
                  <m:r>
                    <w:rPr>
                      <w:rFonts w:ascii="Cambria Math" w:hAnsi="Cambria Math"/>
                      <w:color w:val="4472C4" w:themeColor="accent1"/>
                      <w:sz w:val="24"/>
                      <w:szCs w:val="24"/>
                    </w:rPr>
                    <m:t>1+IRR</m:t>
                  </m:r>
                </m:e>
              </m:d>
              <m:ctrlPr>
                <w:rPr>
                  <w:rFonts w:ascii="Cambria Math" w:eastAsia="Calibri" w:hAnsi="Cambria Math"/>
                  <w:i/>
                  <w:color w:val="4472C4" w:themeColor="accent1"/>
                  <w:sz w:val="24"/>
                  <w:szCs w:val="18"/>
                </w:rPr>
              </m:ctrlPr>
            </m:e>
            <m:sup>
              <m:r>
                <w:rPr>
                  <w:rFonts w:ascii="Cambria Math" w:eastAsia="Calibri" w:hAnsi="Cambria Math"/>
                  <w:color w:val="4472C4" w:themeColor="accent1"/>
                  <w:sz w:val="24"/>
                  <w:szCs w:val="18"/>
                </w:rPr>
                <m:t>-1</m:t>
              </m:r>
            </m:sup>
          </m:sSup>
          <m:r>
            <w:rPr>
              <w:rFonts w:ascii="Cambria Math" w:eastAsia="Calibri" w:hAnsi="Cambria Math"/>
              <w:color w:val="4472C4" w:themeColor="accent1"/>
              <w:sz w:val="24"/>
              <w:szCs w:val="18"/>
            </w:rPr>
            <m:t>+</m:t>
          </m:r>
          <m:r>
            <w:rPr>
              <w:rFonts w:ascii="Cambria Math" w:hAnsi="Cambria Math"/>
              <w:color w:val="4472C4" w:themeColor="accent1"/>
              <w:sz w:val="24"/>
              <w:szCs w:val="24"/>
            </w:rPr>
            <m:t>100,000×</m:t>
          </m:r>
          <m:sSup>
            <m:sSupPr>
              <m:ctrlPr>
                <w:rPr>
                  <w:rFonts w:ascii="Cambria Math" w:hAnsi="Cambria Math"/>
                  <w:i/>
                  <w:color w:val="4472C4" w:themeColor="accent1"/>
                  <w:sz w:val="24"/>
                  <w:szCs w:val="24"/>
                </w:rPr>
              </m:ctrlPr>
            </m:sSupPr>
            <m:e>
              <m:d>
                <m:dPr>
                  <m:ctrlPr>
                    <w:rPr>
                      <w:rFonts w:ascii="Cambria Math" w:hAnsi="Cambria Math"/>
                      <w:i/>
                      <w:color w:val="4472C4" w:themeColor="accent1"/>
                      <w:sz w:val="24"/>
                      <w:szCs w:val="24"/>
                    </w:rPr>
                  </m:ctrlPr>
                </m:dPr>
                <m:e>
                  <m:r>
                    <w:rPr>
                      <w:rFonts w:ascii="Cambria Math" w:hAnsi="Cambria Math"/>
                      <w:color w:val="4472C4" w:themeColor="accent1"/>
                      <w:sz w:val="24"/>
                      <w:szCs w:val="24"/>
                    </w:rPr>
                    <m:t>1+IRR</m:t>
                  </m:r>
                </m:e>
              </m:d>
              <m:ctrlPr>
                <w:rPr>
                  <w:rFonts w:ascii="Cambria Math" w:eastAsia="Calibri" w:hAnsi="Cambria Math"/>
                  <w:i/>
                  <w:color w:val="4472C4" w:themeColor="accent1"/>
                  <w:sz w:val="24"/>
                  <w:szCs w:val="18"/>
                </w:rPr>
              </m:ctrlPr>
            </m:e>
            <m:sup>
              <m:r>
                <w:rPr>
                  <w:rFonts w:ascii="Cambria Math" w:eastAsia="Calibri" w:hAnsi="Cambria Math"/>
                  <w:color w:val="4472C4" w:themeColor="accent1"/>
                  <w:sz w:val="24"/>
                  <w:szCs w:val="18"/>
                </w:rPr>
                <m:t>-2</m:t>
              </m:r>
            </m:sup>
          </m:sSup>
        </m:oMath>
      </m:oMathPara>
    </w:p>
    <w:p w14:paraId="66D5E4DD" w14:textId="0DAFF696" w:rsidR="0066072F" w:rsidRPr="0066072F" w:rsidRDefault="0066072F" w:rsidP="0066072F">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m:t>
          </m:r>
          <m:r>
            <w:rPr>
              <w:rFonts w:ascii="Cambria Math" w:hAnsi="Cambria Math"/>
              <w:color w:val="4472C4" w:themeColor="accent1"/>
              <w:sz w:val="24"/>
              <w:szCs w:val="24"/>
            </w:rPr>
            <m:t>100,000×</m:t>
          </m:r>
          <m:sSup>
            <m:sSupPr>
              <m:ctrlPr>
                <w:rPr>
                  <w:rFonts w:ascii="Cambria Math" w:hAnsi="Cambria Math"/>
                  <w:i/>
                  <w:color w:val="4472C4" w:themeColor="accent1"/>
                  <w:sz w:val="24"/>
                  <w:szCs w:val="24"/>
                </w:rPr>
              </m:ctrlPr>
            </m:sSupPr>
            <m:e>
              <m:d>
                <m:dPr>
                  <m:ctrlPr>
                    <w:rPr>
                      <w:rFonts w:ascii="Cambria Math" w:hAnsi="Cambria Math"/>
                      <w:i/>
                      <w:color w:val="4472C4" w:themeColor="accent1"/>
                      <w:sz w:val="24"/>
                      <w:szCs w:val="24"/>
                    </w:rPr>
                  </m:ctrlPr>
                </m:dPr>
                <m:e>
                  <m:r>
                    <w:rPr>
                      <w:rFonts w:ascii="Cambria Math" w:hAnsi="Cambria Math"/>
                      <w:color w:val="4472C4" w:themeColor="accent1"/>
                      <w:sz w:val="24"/>
                      <w:szCs w:val="24"/>
                    </w:rPr>
                    <m:t>1+IRR</m:t>
                  </m:r>
                </m:e>
              </m:d>
              <m:ctrlPr>
                <w:rPr>
                  <w:rFonts w:ascii="Cambria Math" w:eastAsia="Calibri" w:hAnsi="Cambria Math"/>
                  <w:i/>
                  <w:color w:val="4472C4" w:themeColor="accent1"/>
                  <w:sz w:val="24"/>
                  <w:szCs w:val="18"/>
                </w:rPr>
              </m:ctrlPr>
            </m:e>
            <m:sup>
              <m:r>
                <w:rPr>
                  <w:rFonts w:ascii="Cambria Math" w:eastAsia="Calibri" w:hAnsi="Cambria Math"/>
                  <w:color w:val="4472C4" w:themeColor="accent1"/>
                  <w:sz w:val="24"/>
                  <w:szCs w:val="18"/>
                </w:rPr>
                <m:t>-3</m:t>
              </m:r>
            </m:sup>
          </m:sSup>
          <m:r>
            <w:rPr>
              <w:rFonts w:ascii="Cambria Math" w:eastAsia="Calibri" w:hAnsi="Cambria Math"/>
              <w:color w:val="4472C4" w:themeColor="accent1"/>
              <w:sz w:val="24"/>
              <w:szCs w:val="18"/>
            </w:rPr>
            <m:t>=0</m:t>
          </m:r>
        </m:oMath>
      </m:oMathPara>
    </w:p>
    <w:p w14:paraId="36B9E946" w14:textId="0A647B9F" w:rsidR="0066072F" w:rsidRDefault="0066072F" w:rsidP="0066072F">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Using Excel, we find that:</w:t>
      </w:r>
    </w:p>
    <w:p w14:paraId="4BE741B3" w14:textId="489950AC" w:rsidR="0066072F" w:rsidRPr="0066072F" w:rsidRDefault="0066072F" w:rsidP="0066072F">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IR</m:t>
          </m:r>
          <m:sSub>
            <m:sSubPr>
              <m:ctrlPr>
                <w:rPr>
                  <w:rFonts w:ascii="Cambria Math" w:eastAsia="Calibri" w:hAnsi="Cambria Math"/>
                  <w:i/>
                  <w:color w:val="4472C4" w:themeColor="accent1"/>
                  <w:sz w:val="24"/>
                  <w:szCs w:val="18"/>
                </w:rPr>
              </m:ctrlPr>
            </m:sSubPr>
            <m:e>
              <m:r>
                <w:rPr>
                  <w:rFonts w:ascii="Cambria Math" w:eastAsia="Calibri" w:hAnsi="Cambria Math"/>
                  <w:color w:val="4472C4" w:themeColor="accent1"/>
                  <w:sz w:val="24"/>
                  <w:szCs w:val="18"/>
                </w:rPr>
                <m:t>R</m:t>
              </m:r>
            </m:e>
            <m:sub>
              <m:r>
                <w:rPr>
                  <w:rFonts w:ascii="Cambria Math" w:eastAsia="Calibri" w:hAnsi="Cambria Math"/>
                  <w:color w:val="4472C4" w:themeColor="accent1"/>
                  <w:sz w:val="24"/>
                  <w:szCs w:val="18"/>
                </w:rPr>
                <m:t>PC</m:t>
              </m:r>
            </m:sub>
          </m:sSub>
          <m:r>
            <w:rPr>
              <w:rFonts w:ascii="Cambria Math" w:eastAsia="Calibri" w:hAnsi="Cambria Math"/>
              <w:color w:val="4472C4" w:themeColor="accent1"/>
              <w:sz w:val="24"/>
              <w:szCs w:val="18"/>
            </w:rPr>
            <m:t>=90.13%</m:t>
          </m:r>
        </m:oMath>
      </m:oMathPara>
    </w:p>
    <w:p w14:paraId="13571D14" w14:textId="77777777" w:rsidR="0066072F" w:rsidRDefault="0066072F" w:rsidP="0066072F">
      <w:pPr>
        <w:pStyle w:val="ListParagraph"/>
        <w:widowControl w:val="0"/>
        <w:autoSpaceDE w:val="0"/>
        <w:autoSpaceDN w:val="0"/>
        <w:adjustRightInd w:val="0"/>
        <w:spacing w:before="60"/>
        <w:ind w:left="284"/>
        <w:jc w:val="both"/>
        <w:rPr>
          <w:rFonts w:eastAsia="Calibri"/>
          <w:color w:val="4472C4" w:themeColor="accent1"/>
          <w:sz w:val="24"/>
          <w:szCs w:val="18"/>
        </w:rPr>
      </w:pPr>
    </w:p>
    <w:p w14:paraId="143162EB" w14:textId="0CA6E5BF" w:rsidR="0066072F" w:rsidRPr="0066072F" w:rsidRDefault="0066072F" w:rsidP="0066072F">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NP</m:t>
          </m:r>
          <m:sSub>
            <m:sSubPr>
              <m:ctrlPr>
                <w:rPr>
                  <w:rFonts w:ascii="Cambria Math" w:eastAsia="Calibri" w:hAnsi="Cambria Math"/>
                  <w:i/>
                  <w:color w:val="4472C4" w:themeColor="accent1"/>
                  <w:sz w:val="24"/>
                  <w:szCs w:val="18"/>
                </w:rPr>
              </m:ctrlPr>
            </m:sSubPr>
            <m:e>
              <m:r>
                <w:rPr>
                  <w:rFonts w:ascii="Cambria Math" w:eastAsia="Calibri" w:hAnsi="Cambria Math"/>
                  <w:color w:val="4472C4" w:themeColor="accent1"/>
                  <w:sz w:val="24"/>
                  <w:szCs w:val="18"/>
                </w:rPr>
                <m:t>V</m:t>
              </m:r>
            </m:e>
            <m:sub>
              <m:r>
                <w:rPr>
                  <w:rFonts w:ascii="Cambria Math" w:eastAsia="Calibri" w:hAnsi="Cambria Math"/>
                  <w:color w:val="4472C4" w:themeColor="accent1"/>
                  <w:sz w:val="24"/>
                  <w:szCs w:val="18"/>
                </w:rPr>
                <m:t>SUV</m:t>
              </m:r>
            </m:sub>
          </m:sSub>
          <m:r>
            <w:rPr>
              <w:rFonts w:ascii="Cambria Math" w:eastAsia="Calibri" w:hAnsi="Cambria Math"/>
              <w:color w:val="4472C4" w:themeColor="accent1"/>
              <w:sz w:val="24"/>
              <w:szCs w:val="18"/>
            </w:rPr>
            <m:t>=-500,000+</m:t>
          </m:r>
          <m:r>
            <w:rPr>
              <w:rFonts w:ascii="Cambria Math" w:hAnsi="Cambria Math"/>
              <w:color w:val="4472C4" w:themeColor="accent1"/>
              <w:sz w:val="24"/>
              <w:szCs w:val="24"/>
            </w:rPr>
            <m:t>300,000×</m:t>
          </m:r>
          <m:sSup>
            <m:sSupPr>
              <m:ctrlPr>
                <w:rPr>
                  <w:rFonts w:ascii="Cambria Math" w:hAnsi="Cambria Math"/>
                  <w:i/>
                  <w:color w:val="4472C4" w:themeColor="accent1"/>
                  <w:sz w:val="24"/>
                  <w:szCs w:val="24"/>
                </w:rPr>
              </m:ctrlPr>
            </m:sSupPr>
            <m:e>
              <m:d>
                <m:dPr>
                  <m:ctrlPr>
                    <w:rPr>
                      <w:rFonts w:ascii="Cambria Math" w:hAnsi="Cambria Math"/>
                      <w:i/>
                      <w:color w:val="4472C4" w:themeColor="accent1"/>
                      <w:sz w:val="24"/>
                      <w:szCs w:val="24"/>
                    </w:rPr>
                  </m:ctrlPr>
                </m:dPr>
                <m:e>
                  <m:r>
                    <w:rPr>
                      <w:rFonts w:ascii="Cambria Math" w:hAnsi="Cambria Math"/>
                      <w:color w:val="4472C4" w:themeColor="accent1"/>
                      <w:sz w:val="24"/>
                      <w:szCs w:val="24"/>
                    </w:rPr>
                    <m:t>1+IRR</m:t>
                  </m:r>
                </m:e>
              </m:d>
              <m:ctrlPr>
                <w:rPr>
                  <w:rFonts w:ascii="Cambria Math" w:eastAsia="Calibri" w:hAnsi="Cambria Math"/>
                  <w:i/>
                  <w:color w:val="4472C4" w:themeColor="accent1"/>
                  <w:sz w:val="24"/>
                  <w:szCs w:val="18"/>
                </w:rPr>
              </m:ctrlPr>
            </m:e>
            <m:sup>
              <m:r>
                <w:rPr>
                  <w:rFonts w:ascii="Cambria Math" w:eastAsia="Calibri" w:hAnsi="Cambria Math"/>
                  <w:color w:val="4472C4" w:themeColor="accent1"/>
                  <w:sz w:val="24"/>
                  <w:szCs w:val="18"/>
                </w:rPr>
                <m:t>-1</m:t>
              </m:r>
            </m:sup>
          </m:sSup>
          <m:r>
            <w:rPr>
              <w:rFonts w:ascii="Cambria Math" w:eastAsia="Calibri" w:hAnsi="Cambria Math"/>
              <w:color w:val="4472C4" w:themeColor="accent1"/>
              <w:sz w:val="24"/>
              <w:szCs w:val="18"/>
            </w:rPr>
            <m:t>+</m:t>
          </m:r>
          <m:r>
            <w:rPr>
              <w:rFonts w:ascii="Cambria Math" w:hAnsi="Cambria Math"/>
              <w:color w:val="4472C4" w:themeColor="accent1"/>
              <w:sz w:val="24"/>
              <w:szCs w:val="24"/>
            </w:rPr>
            <m:t>250,000×</m:t>
          </m:r>
          <m:sSup>
            <m:sSupPr>
              <m:ctrlPr>
                <w:rPr>
                  <w:rFonts w:ascii="Cambria Math" w:hAnsi="Cambria Math"/>
                  <w:i/>
                  <w:color w:val="4472C4" w:themeColor="accent1"/>
                  <w:sz w:val="24"/>
                  <w:szCs w:val="24"/>
                </w:rPr>
              </m:ctrlPr>
            </m:sSupPr>
            <m:e>
              <m:d>
                <m:dPr>
                  <m:ctrlPr>
                    <w:rPr>
                      <w:rFonts w:ascii="Cambria Math" w:hAnsi="Cambria Math"/>
                      <w:i/>
                      <w:color w:val="4472C4" w:themeColor="accent1"/>
                      <w:sz w:val="24"/>
                      <w:szCs w:val="24"/>
                    </w:rPr>
                  </m:ctrlPr>
                </m:dPr>
                <m:e>
                  <m:r>
                    <w:rPr>
                      <w:rFonts w:ascii="Cambria Math" w:hAnsi="Cambria Math"/>
                      <w:color w:val="4472C4" w:themeColor="accent1"/>
                      <w:sz w:val="24"/>
                      <w:szCs w:val="24"/>
                    </w:rPr>
                    <m:t>1+IRR</m:t>
                  </m:r>
                </m:e>
              </m:d>
              <m:ctrlPr>
                <w:rPr>
                  <w:rFonts w:ascii="Cambria Math" w:eastAsia="Calibri" w:hAnsi="Cambria Math"/>
                  <w:i/>
                  <w:color w:val="4472C4" w:themeColor="accent1"/>
                  <w:sz w:val="24"/>
                  <w:szCs w:val="18"/>
                </w:rPr>
              </m:ctrlPr>
            </m:e>
            <m:sup>
              <m:r>
                <w:rPr>
                  <w:rFonts w:ascii="Cambria Math" w:eastAsia="Calibri" w:hAnsi="Cambria Math"/>
                  <w:color w:val="4472C4" w:themeColor="accent1"/>
                  <w:sz w:val="24"/>
                  <w:szCs w:val="18"/>
                </w:rPr>
                <m:t>-2</m:t>
              </m:r>
            </m:sup>
          </m:sSup>
        </m:oMath>
      </m:oMathPara>
    </w:p>
    <w:p w14:paraId="45AC7CE8" w14:textId="2F9E2233" w:rsidR="0066072F" w:rsidRPr="0066072F" w:rsidRDefault="0066072F" w:rsidP="0066072F">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m:t>
          </m:r>
          <m:r>
            <w:rPr>
              <w:rFonts w:ascii="Cambria Math" w:hAnsi="Cambria Math"/>
              <w:color w:val="4472C4" w:themeColor="accent1"/>
              <w:sz w:val="24"/>
              <w:szCs w:val="24"/>
            </w:rPr>
            <m:t>250,000×</m:t>
          </m:r>
          <m:sSup>
            <m:sSupPr>
              <m:ctrlPr>
                <w:rPr>
                  <w:rFonts w:ascii="Cambria Math" w:hAnsi="Cambria Math"/>
                  <w:i/>
                  <w:color w:val="4472C4" w:themeColor="accent1"/>
                  <w:sz w:val="24"/>
                  <w:szCs w:val="24"/>
                </w:rPr>
              </m:ctrlPr>
            </m:sSupPr>
            <m:e>
              <m:d>
                <m:dPr>
                  <m:ctrlPr>
                    <w:rPr>
                      <w:rFonts w:ascii="Cambria Math" w:hAnsi="Cambria Math"/>
                      <w:i/>
                      <w:color w:val="4472C4" w:themeColor="accent1"/>
                      <w:sz w:val="24"/>
                      <w:szCs w:val="24"/>
                    </w:rPr>
                  </m:ctrlPr>
                </m:dPr>
                <m:e>
                  <m:r>
                    <w:rPr>
                      <w:rFonts w:ascii="Cambria Math" w:hAnsi="Cambria Math"/>
                      <w:color w:val="4472C4" w:themeColor="accent1"/>
                      <w:sz w:val="24"/>
                      <w:szCs w:val="24"/>
                    </w:rPr>
                    <m:t>1+IRR</m:t>
                  </m:r>
                </m:e>
              </m:d>
              <m:ctrlPr>
                <w:rPr>
                  <w:rFonts w:ascii="Cambria Math" w:eastAsia="Calibri" w:hAnsi="Cambria Math"/>
                  <w:i/>
                  <w:color w:val="4472C4" w:themeColor="accent1"/>
                  <w:sz w:val="24"/>
                  <w:szCs w:val="18"/>
                </w:rPr>
              </m:ctrlPr>
            </m:e>
            <m:sup>
              <m:r>
                <w:rPr>
                  <w:rFonts w:ascii="Cambria Math" w:eastAsia="Calibri" w:hAnsi="Cambria Math"/>
                  <w:color w:val="4472C4" w:themeColor="accent1"/>
                  <w:sz w:val="24"/>
                  <w:szCs w:val="18"/>
                </w:rPr>
                <m:t>-3</m:t>
              </m:r>
            </m:sup>
          </m:sSup>
          <m:r>
            <w:rPr>
              <w:rFonts w:ascii="Cambria Math" w:eastAsia="Calibri" w:hAnsi="Cambria Math"/>
              <w:color w:val="4472C4" w:themeColor="accent1"/>
              <w:sz w:val="24"/>
              <w:szCs w:val="18"/>
            </w:rPr>
            <m:t>=0</m:t>
          </m:r>
        </m:oMath>
      </m:oMathPara>
    </w:p>
    <w:p w14:paraId="7EBD3D73" w14:textId="77777777" w:rsidR="0066072F" w:rsidRDefault="0066072F" w:rsidP="0066072F">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Using Excel, we find that:</w:t>
      </w:r>
    </w:p>
    <w:p w14:paraId="3CEB5EFC" w14:textId="0FE1F2C6" w:rsidR="0066072F" w:rsidRPr="0066072F" w:rsidRDefault="0066072F" w:rsidP="0066072F">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IR</m:t>
          </m:r>
          <m:sSub>
            <m:sSubPr>
              <m:ctrlPr>
                <w:rPr>
                  <w:rFonts w:ascii="Cambria Math" w:eastAsia="Calibri" w:hAnsi="Cambria Math"/>
                  <w:i/>
                  <w:color w:val="4472C4" w:themeColor="accent1"/>
                  <w:sz w:val="24"/>
                  <w:szCs w:val="18"/>
                </w:rPr>
              </m:ctrlPr>
            </m:sSubPr>
            <m:e>
              <m:r>
                <w:rPr>
                  <w:rFonts w:ascii="Cambria Math" w:eastAsia="Calibri" w:hAnsi="Cambria Math"/>
                  <w:color w:val="4472C4" w:themeColor="accent1"/>
                  <w:sz w:val="24"/>
                  <w:szCs w:val="18"/>
                </w:rPr>
                <m:t>R</m:t>
              </m:r>
            </m:e>
            <m:sub>
              <m:r>
                <w:rPr>
                  <w:rFonts w:ascii="Cambria Math" w:eastAsia="Calibri" w:hAnsi="Cambria Math"/>
                  <w:color w:val="4472C4" w:themeColor="accent1"/>
                  <w:sz w:val="24"/>
                  <w:szCs w:val="18"/>
                </w:rPr>
                <m:t>SUV</m:t>
              </m:r>
            </m:sub>
          </m:sSub>
          <m:r>
            <w:rPr>
              <w:rFonts w:ascii="Cambria Math" w:eastAsia="Calibri" w:hAnsi="Cambria Math"/>
              <w:color w:val="4472C4" w:themeColor="accent1"/>
              <w:sz w:val="24"/>
              <w:szCs w:val="18"/>
            </w:rPr>
            <m:t>=28.89%</m:t>
          </m:r>
        </m:oMath>
      </m:oMathPara>
    </w:p>
    <w:p w14:paraId="1536E6FE" w14:textId="067D68FD" w:rsidR="0066072F" w:rsidRPr="0066072F" w:rsidRDefault="0066072F" w:rsidP="0066072F">
      <w:pPr>
        <w:pStyle w:val="ListParagraph"/>
        <w:widowControl w:val="0"/>
        <w:autoSpaceDE w:val="0"/>
        <w:autoSpaceDN w:val="0"/>
        <w:adjustRightInd w:val="0"/>
        <w:spacing w:before="60"/>
        <w:ind w:left="284"/>
        <w:jc w:val="both"/>
        <w:rPr>
          <w:rFonts w:eastAsia="Calibri"/>
          <w:color w:val="4472C4" w:themeColor="accent1"/>
          <w:sz w:val="24"/>
          <w:szCs w:val="18"/>
        </w:rPr>
      </w:pPr>
    </w:p>
    <w:p w14:paraId="509D171A" w14:textId="75878A3C" w:rsidR="0066072F" w:rsidRPr="0066072F" w:rsidRDefault="0066072F" w:rsidP="008F71D5">
      <w:pPr>
        <w:pStyle w:val="ListParagraph"/>
        <w:widowControl w:val="0"/>
        <w:autoSpaceDE w:val="0"/>
        <w:autoSpaceDN w:val="0"/>
        <w:adjustRightInd w:val="0"/>
        <w:spacing w:before="60"/>
        <w:ind w:left="360"/>
        <w:jc w:val="both"/>
        <w:rPr>
          <w:rFonts w:eastAsia="Calibri"/>
          <w:color w:val="4472C4" w:themeColor="accent1"/>
          <w:sz w:val="24"/>
          <w:szCs w:val="18"/>
        </w:rPr>
      </w:pPr>
      <w:r w:rsidRPr="0066072F">
        <w:rPr>
          <w:rFonts w:eastAsia="Calibri"/>
          <w:color w:val="4472C4" w:themeColor="accent1"/>
          <w:sz w:val="24"/>
          <w:szCs w:val="18"/>
        </w:rPr>
        <w:t>Since the IRR of the People Carrier is greater than the IRR of the SUV, IRR implies we choose the People Carrier.</w:t>
      </w:r>
    </w:p>
    <w:sectPr w:rsidR="0066072F" w:rsidRPr="006607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3FE7"/>
    <w:multiLevelType w:val="multilevel"/>
    <w:tmpl w:val="67D49B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0855E9"/>
    <w:multiLevelType w:val="hybridMultilevel"/>
    <w:tmpl w:val="8A2C660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DE675A"/>
    <w:multiLevelType w:val="hybridMultilevel"/>
    <w:tmpl w:val="83CA6236"/>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FF2C6C"/>
    <w:multiLevelType w:val="hybridMultilevel"/>
    <w:tmpl w:val="B620959E"/>
    <w:lvl w:ilvl="0" w:tplc="04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4" w15:restartNumberingAfterBreak="0">
    <w:nsid w:val="10D73915"/>
    <w:multiLevelType w:val="hybridMultilevel"/>
    <w:tmpl w:val="2C7280D8"/>
    <w:lvl w:ilvl="0" w:tplc="C51667DE">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5" w15:restartNumberingAfterBreak="0">
    <w:nsid w:val="120E4892"/>
    <w:multiLevelType w:val="hybridMultilevel"/>
    <w:tmpl w:val="E8A213F2"/>
    <w:lvl w:ilvl="0" w:tplc="E1646930">
      <w:start w:val="18"/>
      <w:numFmt w:val="decimal"/>
      <w:lvlText w:val="%1."/>
      <w:lvlJc w:val="left"/>
      <w:pPr>
        <w:ind w:left="720" w:hanging="360"/>
      </w:pPr>
      <w:rPr>
        <w:rFonts w:hint="default"/>
        <w:color w:val="00000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1E2A9E"/>
    <w:multiLevelType w:val="hybridMultilevel"/>
    <w:tmpl w:val="5916225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64A4F20"/>
    <w:multiLevelType w:val="hybridMultilevel"/>
    <w:tmpl w:val="66961F76"/>
    <w:lvl w:ilvl="0" w:tplc="FFE24EF0">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09A6C4C"/>
    <w:multiLevelType w:val="hybridMultilevel"/>
    <w:tmpl w:val="75C8FE64"/>
    <w:lvl w:ilvl="0" w:tplc="E7426B9A">
      <w:start w:val="1"/>
      <w:numFmt w:val="lowerLetter"/>
      <w:lvlText w:val="(%1)"/>
      <w:lvlJc w:val="left"/>
      <w:pPr>
        <w:ind w:left="860" w:hanging="50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27D3EFB"/>
    <w:multiLevelType w:val="hybridMultilevel"/>
    <w:tmpl w:val="A4141B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F56F6A"/>
    <w:multiLevelType w:val="hybridMultilevel"/>
    <w:tmpl w:val="AAFAD78C"/>
    <w:lvl w:ilvl="0" w:tplc="08090019">
      <w:start w:val="1"/>
      <w:numFmt w:val="low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1" w15:restartNumberingAfterBreak="0">
    <w:nsid w:val="26B524A2"/>
    <w:multiLevelType w:val="hybridMultilevel"/>
    <w:tmpl w:val="995CD734"/>
    <w:lvl w:ilvl="0" w:tplc="08090017">
      <w:start w:val="1"/>
      <w:numFmt w:val="lowerLetter"/>
      <w:lvlText w:val="%1)"/>
      <w:lvlJc w:val="left"/>
      <w:pPr>
        <w:ind w:left="720" w:hanging="360"/>
      </w:pPr>
    </w:lvl>
    <w:lvl w:ilvl="1" w:tplc="9B3E1A0C">
      <w:start w:val="1"/>
      <w:numFmt w:val="lowerLetter"/>
      <w:lvlText w:val="%2)"/>
      <w:lvlJc w:val="left"/>
      <w:pPr>
        <w:ind w:left="1440" w:hanging="360"/>
      </w:pPr>
      <w:rPr>
        <w:b/>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032C24"/>
    <w:multiLevelType w:val="hybridMultilevel"/>
    <w:tmpl w:val="36548212"/>
    <w:lvl w:ilvl="0" w:tplc="BAE0C1B6">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82F5EC4"/>
    <w:multiLevelType w:val="hybridMultilevel"/>
    <w:tmpl w:val="B8C605A8"/>
    <w:lvl w:ilvl="0" w:tplc="FFE24EF0">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B36734F"/>
    <w:multiLevelType w:val="hybridMultilevel"/>
    <w:tmpl w:val="ED321E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9D44DB"/>
    <w:multiLevelType w:val="hybridMultilevel"/>
    <w:tmpl w:val="1BAE6306"/>
    <w:lvl w:ilvl="0" w:tplc="4AC83110">
      <w:start w:val="3"/>
      <w:numFmt w:val="bullet"/>
      <w:lvlText w:val=""/>
      <w:lvlJc w:val="left"/>
      <w:pPr>
        <w:ind w:left="644" w:hanging="360"/>
      </w:pPr>
      <w:rPr>
        <w:rFonts w:ascii="Wingdings" w:eastAsia="Calibri" w:hAnsi="Wingdings" w:cstheme="minorBidi" w:hint="default"/>
        <w:color w:val="4472C4" w:themeColor="accent1"/>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6" w15:restartNumberingAfterBreak="0">
    <w:nsid w:val="39496F8B"/>
    <w:multiLevelType w:val="hybridMultilevel"/>
    <w:tmpl w:val="036C9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092B17"/>
    <w:multiLevelType w:val="hybridMultilevel"/>
    <w:tmpl w:val="EF32D2F2"/>
    <w:lvl w:ilvl="0" w:tplc="41FE3E80">
      <w:start w:val="1"/>
      <w:numFmt w:val="lowerLetter"/>
      <w:lvlText w:val="%1)"/>
      <w:lvlJc w:val="left"/>
      <w:pPr>
        <w:ind w:left="1004" w:hanging="360"/>
      </w:pPr>
      <w:rPr>
        <w:b/>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8" w15:restartNumberingAfterBreak="0">
    <w:nsid w:val="456A2BB9"/>
    <w:multiLevelType w:val="hybridMultilevel"/>
    <w:tmpl w:val="23CE0B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4209EF"/>
    <w:multiLevelType w:val="hybridMultilevel"/>
    <w:tmpl w:val="A064B882"/>
    <w:lvl w:ilvl="0" w:tplc="08C24E9C">
      <w:start w:val="1"/>
      <w:numFmt w:val="bullet"/>
      <w:lvlText w:val="•"/>
      <w:lvlJc w:val="left"/>
      <w:pPr>
        <w:tabs>
          <w:tab w:val="num" w:pos="720"/>
        </w:tabs>
        <w:ind w:left="720" w:hanging="360"/>
      </w:pPr>
      <w:rPr>
        <w:rFonts w:ascii="Arial" w:hAnsi="Arial" w:hint="default"/>
      </w:rPr>
    </w:lvl>
    <w:lvl w:ilvl="1" w:tplc="07D4AEA2">
      <w:start w:val="1"/>
      <w:numFmt w:val="bullet"/>
      <w:lvlText w:val="•"/>
      <w:lvlJc w:val="left"/>
      <w:pPr>
        <w:tabs>
          <w:tab w:val="num" w:pos="1440"/>
        </w:tabs>
        <w:ind w:left="1440" w:hanging="360"/>
      </w:pPr>
      <w:rPr>
        <w:rFonts w:ascii="Arial" w:hAnsi="Arial" w:hint="default"/>
      </w:rPr>
    </w:lvl>
    <w:lvl w:ilvl="2" w:tplc="228A91EC" w:tentative="1">
      <w:start w:val="1"/>
      <w:numFmt w:val="bullet"/>
      <w:lvlText w:val="•"/>
      <w:lvlJc w:val="left"/>
      <w:pPr>
        <w:tabs>
          <w:tab w:val="num" w:pos="2160"/>
        </w:tabs>
        <w:ind w:left="2160" w:hanging="360"/>
      </w:pPr>
      <w:rPr>
        <w:rFonts w:ascii="Arial" w:hAnsi="Arial" w:hint="default"/>
      </w:rPr>
    </w:lvl>
    <w:lvl w:ilvl="3" w:tplc="8ACC2A70" w:tentative="1">
      <w:start w:val="1"/>
      <w:numFmt w:val="bullet"/>
      <w:lvlText w:val="•"/>
      <w:lvlJc w:val="left"/>
      <w:pPr>
        <w:tabs>
          <w:tab w:val="num" w:pos="2880"/>
        </w:tabs>
        <w:ind w:left="2880" w:hanging="360"/>
      </w:pPr>
      <w:rPr>
        <w:rFonts w:ascii="Arial" w:hAnsi="Arial" w:hint="default"/>
      </w:rPr>
    </w:lvl>
    <w:lvl w:ilvl="4" w:tplc="6AA0ECD8" w:tentative="1">
      <w:start w:val="1"/>
      <w:numFmt w:val="bullet"/>
      <w:lvlText w:val="•"/>
      <w:lvlJc w:val="left"/>
      <w:pPr>
        <w:tabs>
          <w:tab w:val="num" w:pos="3600"/>
        </w:tabs>
        <w:ind w:left="3600" w:hanging="360"/>
      </w:pPr>
      <w:rPr>
        <w:rFonts w:ascii="Arial" w:hAnsi="Arial" w:hint="default"/>
      </w:rPr>
    </w:lvl>
    <w:lvl w:ilvl="5" w:tplc="D41273CC" w:tentative="1">
      <w:start w:val="1"/>
      <w:numFmt w:val="bullet"/>
      <w:lvlText w:val="•"/>
      <w:lvlJc w:val="left"/>
      <w:pPr>
        <w:tabs>
          <w:tab w:val="num" w:pos="4320"/>
        </w:tabs>
        <w:ind w:left="4320" w:hanging="360"/>
      </w:pPr>
      <w:rPr>
        <w:rFonts w:ascii="Arial" w:hAnsi="Arial" w:hint="default"/>
      </w:rPr>
    </w:lvl>
    <w:lvl w:ilvl="6" w:tplc="B5201296" w:tentative="1">
      <w:start w:val="1"/>
      <w:numFmt w:val="bullet"/>
      <w:lvlText w:val="•"/>
      <w:lvlJc w:val="left"/>
      <w:pPr>
        <w:tabs>
          <w:tab w:val="num" w:pos="5040"/>
        </w:tabs>
        <w:ind w:left="5040" w:hanging="360"/>
      </w:pPr>
      <w:rPr>
        <w:rFonts w:ascii="Arial" w:hAnsi="Arial" w:hint="default"/>
      </w:rPr>
    </w:lvl>
    <w:lvl w:ilvl="7" w:tplc="48DEE924" w:tentative="1">
      <w:start w:val="1"/>
      <w:numFmt w:val="bullet"/>
      <w:lvlText w:val="•"/>
      <w:lvlJc w:val="left"/>
      <w:pPr>
        <w:tabs>
          <w:tab w:val="num" w:pos="5760"/>
        </w:tabs>
        <w:ind w:left="5760" w:hanging="360"/>
      </w:pPr>
      <w:rPr>
        <w:rFonts w:ascii="Arial" w:hAnsi="Arial" w:hint="default"/>
      </w:rPr>
    </w:lvl>
    <w:lvl w:ilvl="8" w:tplc="8DBAA6E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A8B0926"/>
    <w:multiLevelType w:val="hybridMultilevel"/>
    <w:tmpl w:val="E9FAD3E4"/>
    <w:lvl w:ilvl="0" w:tplc="BCF44C2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CD126AB"/>
    <w:multiLevelType w:val="multilevel"/>
    <w:tmpl w:val="5C0C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833657"/>
    <w:multiLevelType w:val="hybridMultilevel"/>
    <w:tmpl w:val="CA141AE2"/>
    <w:lvl w:ilvl="0" w:tplc="08090017">
      <w:start w:val="1"/>
      <w:numFmt w:val="low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3" w15:restartNumberingAfterBreak="0">
    <w:nsid w:val="53326FAA"/>
    <w:multiLevelType w:val="hybridMultilevel"/>
    <w:tmpl w:val="0EEAAA3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CF26908"/>
    <w:multiLevelType w:val="hybridMultilevel"/>
    <w:tmpl w:val="7BA4B69A"/>
    <w:lvl w:ilvl="0" w:tplc="FFE24EF0">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EF65E0A"/>
    <w:multiLevelType w:val="hybridMultilevel"/>
    <w:tmpl w:val="D6B0C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49E5D22"/>
    <w:multiLevelType w:val="multilevel"/>
    <w:tmpl w:val="5394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232990"/>
    <w:multiLevelType w:val="hybridMultilevel"/>
    <w:tmpl w:val="4F84128C"/>
    <w:lvl w:ilvl="0" w:tplc="3D9294A0">
      <w:start w:val="1"/>
      <w:numFmt w:val="decimal"/>
      <w:lvlText w:val="%1."/>
      <w:lvlJc w:val="left"/>
      <w:pPr>
        <w:ind w:left="-216" w:hanging="360"/>
      </w:pPr>
      <w:rPr>
        <w:rFonts w:hint="default"/>
      </w:rPr>
    </w:lvl>
    <w:lvl w:ilvl="1" w:tplc="08090019" w:tentative="1">
      <w:start w:val="1"/>
      <w:numFmt w:val="lowerLetter"/>
      <w:lvlText w:val="%2."/>
      <w:lvlJc w:val="left"/>
      <w:pPr>
        <w:ind w:left="504" w:hanging="360"/>
      </w:pPr>
    </w:lvl>
    <w:lvl w:ilvl="2" w:tplc="0809001B" w:tentative="1">
      <w:start w:val="1"/>
      <w:numFmt w:val="lowerRoman"/>
      <w:lvlText w:val="%3."/>
      <w:lvlJc w:val="right"/>
      <w:pPr>
        <w:ind w:left="1224" w:hanging="180"/>
      </w:pPr>
    </w:lvl>
    <w:lvl w:ilvl="3" w:tplc="0809000F" w:tentative="1">
      <w:start w:val="1"/>
      <w:numFmt w:val="decimal"/>
      <w:lvlText w:val="%4."/>
      <w:lvlJc w:val="left"/>
      <w:pPr>
        <w:ind w:left="1944" w:hanging="360"/>
      </w:pPr>
    </w:lvl>
    <w:lvl w:ilvl="4" w:tplc="08090019" w:tentative="1">
      <w:start w:val="1"/>
      <w:numFmt w:val="lowerLetter"/>
      <w:lvlText w:val="%5."/>
      <w:lvlJc w:val="left"/>
      <w:pPr>
        <w:ind w:left="2664" w:hanging="360"/>
      </w:pPr>
    </w:lvl>
    <w:lvl w:ilvl="5" w:tplc="0809001B" w:tentative="1">
      <w:start w:val="1"/>
      <w:numFmt w:val="lowerRoman"/>
      <w:lvlText w:val="%6."/>
      <w:lvlJc w:val="right"/>
      <w:pPr>
        <w:ind w:left="3384" w:hanging="180"/>
      </w:pPr>
    </w:lvl>
    <w:lvl w:ilvl="6" w:tplc="0809000F" w:tentative="1">
      <w:start w:val="1"/>
      <w:numFmt w:val="decimal"/>
      <w:lvlText w:val="%7."/>
      <w:lvlJc w:val="left"/>
      <w:pPr>
        <w:ind w:left="4104" w:hanging="360"/>
      </w:pPr>
    </w:lvl>
    <w:lvl w:ilvl="7" w:tplc="08090019" w:tentative="1">
      <w:start w:val="1"/>
      <w:numFmt w:val="lowerLetter"/>
      <w:lvlText w:val="%8."/>
      <w:lvlJc w:val="left"/>
      <w:pPr>
        <w:ind w:left="4824" w:hanging="360"/>
      </w:pPr>
    </w:lvl>
    <w:lvl w:ilvl="8" w:tplc="0809001B" w:tentative="1">
      <w:start w:val="1"/>
      <w:numFmt w:val="lowerRoman"/>
      <w:lvlText w:val="%9."/>
      <w:lvlJc w:val="right"/>
      <w:pPr>
        <w:ind w:left="5544" w:hanging="180"/>
      </w:pPr>
    </w:lvl>
  </w:abstractNum>
  <w:abstractNum w:abstractNumId="28" w15:restartNumberingAfterBreak="0">
    <w:nsid w:val="680D152D"/>
    <w:multiLevelType w:val="hybridMultilevel"/>
    <w:tmpl w:val="0EEAAA3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BEE5044"/>
    <w:multiLevelType w:val="hybridMultilevel"/>
    <w:tmpl w:val="4CEA01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47C0AEA"/>
    <w:multiLevelType w:val="hybridMultilevel"/>
    <w:tmpl w:val="166218CC"/>
    <w:lvl w:ilvl="0" w:tplc="71C88B3E">
      <w:start w:val="1"/>
      <w:numFmt w:val="lowerLetter"/>
      <w:lvlText w:val="%1)"/>
      <w:lvlJc w:val="left"/>
      <w:pPr>
        <w:ind w:left="1080" w:hanging="360"/>
      </w:pPr>
      <w:rPr>
        <w:b/>
      </w:rPr>
    </w:lvl>
    <w:lvl w:ilvl="1" w:tplc="97D2DD32">
      <w:start w:val="1"/>
      <w:numFmt w:val="lowerLetter"/>
      <w:lvlText w:val="(%2)"/>
      <w:lvlJc w:val="left"/>
      <w:pPr>
        <w:ind w:left="1940" w:hanging="500"/>
      </w:pPr>
      <w:rPr>
        <w:rFonts w:hint="default"/>
        <w:b/>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74B34C17"/>
    <w:multiLevelType w:val="hybridMultilevel"/>
    <w:tmpl w:val="640C967C"/>
    <w:lvl w:ilvl="0" w:tplc="FFE24EF0">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819277E"/>
    <w:multiLevelType w:val="hybridMultilevel"/>
    <w:tmpl w:val="9DFEB0F6"/>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3" w15:restartNumberingAfterBreak="0">
    <w:nsid w:val="7E874CBB"/>
    <w:multiLevelType w:val="hybridMultilevel"/>
    <w:tmpl w:val="ECD2F0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7474421">
    <w:abstractNumId w:val="29"/>
  </w:num>
  <w:num w:numId="2" w16cid:durableId="1282570765">
    <w:abstractNumId w:val="32"/>
  </w:num>
  <w:num w:numId="3" w16cid:durableId="324825865">
    <w:abstractNumId w:val="28"/>
  </w:num>
  <w:num w:numId="4" w16cid:durableId="968631466">
    <w:abstractNumId w:val="1"/>
  </w:num>
  <w:num w:numId="5" w16cid:durableId="151407306">
    <w:abstractNumId w:val="23"/>
  </w:num>
  <w:num w:numId="6" w16cid:durableId="1918980098">
    <w:abstractNumId w:val="10"/>
  </w:num>
  <w:num w:numId="7" w16cid:durableId="350953818">
    <w:abstractNumId w:val="20"/>
  </w:num>
  <w:num w:numId="8" w16cid:durableId="211621173">
    <w:abstractNumId w:val="3"/>
  </w:num>
  <w:num w:numId="9" w16cid:durableId="464130434">
    <w:abstractNumId w:val="22"/>
  </w:num>
  <w:num w:numId="10" w16cid:durableId="166019244">
    <w:abstractNumId w:val="27"/>
  </w:num>
  <w:num w:numId="11" w16cid:durableId="326136980">
    <w:abstractNumId w:val="6"/>
  </w:num>
  <w:num w:numId="12" w16cid:durableId="229771362">
    <w:abstractNumId w:val="19"/>
  </w:num>
  <w:num w:numId="13" w16cid:durableId="1788155604">
    <w:abstractNumId w:val="12"/>
  </w:num>
  <w:num w:numId="14" w16cid:durableId="245922869">
    <w:abstractNumId w:val="31"/>
  </w:num>
  <w:num w:numId="15" w16cid:durableId="1788741482">
    <w:abstractNumId w:val="9"/>
  </w:num>
  <w:num w:numId="16" w16cid:durableId="736439234">
    <w:abstractNumId w:val="13"/>
  </w:num>
  <w:num w:numId="17" w16cid:durableId="268197776">
    <w:abstractNumId w:val="24"/>
  </w:num>
  <w:num w:numId="18" w16cid:durableId="141628680">
    <w:abstractNumId w:val="7"/>
  </w:num>
  <w:num w:numId="19" w16cid:durableId="1041054183">
    <w:abstractNumId w:val="18"/>
  </w:num>
  <w:num w:numId="20" w16cid:durableId="444615351">
    <w:abstractNumId w:val="33"/>
  </w:num>
  <w:num w:numId="21" w16cid:durableId="201333757">
    <w:abstractNumId w:val="5"/>
  </w:num>
  <w:num w:numId="22" w16cid:durableId="650208396">
    <w:abstractNumId w:val="30"/>
  </w:num>
  <w:num w:numId="23" w16cid:durableId="140124395">
    <w:abstractNumId w:val="8"/>
  </w:num>
  <w:num w:numId="24" w16cid:durableId="188684738">
    <w:abstractNumId w:val="2"/>
  </w:num>
  <w:num w:numId="25" w16cid:durableId="819419475">
    <w:abstractNumId w:val="11"/>
  </w:num>
  <w:num w:numId="26" w16cid:durableId="282273298">
    <w:abstractNumId w:val="17"/>
  </w:num>
  <w:num w:numId="27" w16cid:durableId="1598513635">
    <w:abstractNumId w:val="14"/>
  </w:num>
  <w:num w:numId="28" w16cid:durableId="1796680100">
    <w:abstractNumId w:val="15"/>
  </w:num>
  <w:num w:numId="29" w16cid:durableId="382216325">
    <w:abstractNumId w:val="26"/>
  </w:num>
  <w:num w:numId="30" w16cid:durableId="1830364087">
    <w:abstractNumId w:val="21"/>
  </w:num>
  <w:num w:numId="31" w16cid:durableId="216822490">
    <w:abstractNumId w:val="0"/>
  </w:num>
  <w:num w:numId="32" w16cid:durableId="1539125716">
    <w:abstractNumId w:val="25"/>
  </w:num>
  <w:num w:numId="33" w16cid:durableId="1587418524">
    <w:abstractNumId w:val="16"/>
  </w:num>
  <w:num w:numId="34" w16cid:durableId="1700887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250"/>
    <w:rsid w:val="00012CDC"/>
    <w:rsid w:val="00017315"/>
    <w:rsid w:val="00026805"/>
    <w:rsid w:val="000465CE"/>
    <w:rsid w:val="00051577"/>
    <w:rsid w:val="00062AC5"/>
    <w:rsid w:val="0007325B"/>
    <w:rsid w:val="000814C5"/>
    <w:rsid w:val="00083246"/>
    <w:rsid w:val="000920E5"/>
    <w:rsid w:val="00093723"/>
    <w:rsid w:val="000B2676"/>
    <w:rsid w:val="000B42C1"/>
    <w:rsid w:val="000C00B4"/>
    <w:rsid w:val="000C2593"/>
    <w:rsid w:val="000C652E"/>
    <w:rsid w:val="000D4082"/>
    <w:rsid w:val="000E695B"/>
    <w:rsid w:val="000E6CB5"/>
    <w:rsid w:val="001114D1"/>
    <w:rsid w:val="001117DD"/>
    <w:rsid w:val="00112971"/>
    <w:rsid w:val="001152DE"/>
    <w:rsid w:val="00132ECE"/>
    <w:rsid w:val="00181447"/>
    <w:rsid w:val="001A3C47"/>
    <w:rsid w:val="001B7BB4"/>
    <w:rsid w:val="001C5A38"/>
    <w:rsid w:val="001D5B3A"/>
    <w:rsid w:val="001E16E1"/>
    <w:rsid w:val="00216676"/>
    <w:rsid w:val="0022154A"/>
    <w:rsid w:val="00224BEE"/>
    <w:rsid w:val="002317A3"/>
    <w:rsid w:val="0023198E"/>
    <w:rsid w:val="00240DF2"/>
    <w:rsid w:val="0024172E"/>
    <w:rsid w:val="00243BFB"/>
    <w:rsid w:val="002455A0"/>
    <w:rsid w:val="0024646D"/>
    <w:rsid w:val="00267910"/>
    <w:rsid w:val="002775A4"/>
    <w:rsid w:val="00287734"/>
    <w:rsid w:val="00287E10"/>
    <w:rsid w:val="002967FC"/>
    <w:rsid w:val="002B0B57"/>
    <w:rsid w:val="002B58C2"/>
    <w:rsid w:val="002C7A91"/>
    <w:rsid w:val="002E2FDB"/>
    <w:rsid w:val="002F67E6"/>
    <w:rsid w:val="00302466"/>
    <w:rsid w:val="00305061"/>
    <w:rsid w:val="00306C44"/>
    <w:rsid w:val="00325AA6"/>
    <w:rsid w:val="003433DD"/>
    <w:rsid w:val="00361075"/>
    <w:rsid w:val="00370092"/>
    <w:rsid w:val="00370B9F"/>
    <w:rsid w:val="00393034"/>
    <w:rsid w:val="003D6983"/>
    <w:rsid w:val="003E48AA"/>
    <w:rsid w:val="00412757"/>
    <w:rsid w:val="0041275E"/>
    <w:rsid w:val="0041324C"/>
    <w:rsid w:val="004266EA"/>
    <w:rsid w:val="004333C7"/>
    <w:rsid w:val="004374BB"/>
    <w:rsid w:val="00445E3F"/>
    <w:rsid w:val="00451FBE"/>
    <w:rsid w:val="00463623"/>
    <w:rsid w:val="0046755E"/>
    <w:rsid w:val="00472727"/>
    <w:rsid w:val="00482512"/>
    <w:rsid w:val="004B31A0"/>
    <w:rsid w:val="004B64EB"/>
    <w:rsid w:val="004C0E0B"/>
    <w:rsid w:val="004E465F"/>
    <w:rsid w:val="004F644D"/>
    <w:rsid w:val="00502BEF"/>
    <w:rsid w:val="00507EE4"/>
    <w:rsid w:val="00513207"/>
    <w:rsid w:val="00521D07"/>
    <w:rsid w:val="00523B79"/>
    <w:rsid w:val="00533843"/>
    <w:rsid w:val="00553EC6"/>
    <w:rsid w:val="00564FE7"/>
    <w:rsid w:val="005712FC"/>
    <w:rsid w:val="00575250"/>
    <w:rsid w:val="005A0A0F"/>
    <w:rsid w:val="005E3C9E"/>
    <w:rsid w:val="005E7873"/>
    <w:rsid w:val="005F59DB"/>
    <w:rsid w:val="006003C7"/>
    <w:rsid w:val="00602165"/>
    <w:rsid w:val="00642935"/>
    <w:rsid w:val="006459D6"/>
    <w:rsid w:val="00655369"/>
    <w:rsid w:val="0066072F"/>
    <w:rsid w:val="00680E46"/>
    <w:rsid w:val="00692FF6"/>
    <w:rsid w:val="006C6802"/>
    <w:rsid w:val="006D77D8"/>
    <w:rsid w:val="006E3542"/>
    <w:rsid w:val="006E77F2"/>
    <w:rsid w:val="0070414D"/>
    <w:rsid w:val="00734AE3"/>
    <w:rsid w:val="00755021"/>
    <w:rsid w:val="00771591"/>
    <w:rsid w:val="007C1402"/>
    <w:rsid w:val="007C1531"/>
    <w:rsid w:val="007C290C"/>
    <w:rsid w:val="0080038F"/>
    <w:rsid w:val="00802A8A"/>
    <w:rsid w:val="00804480"/>
    <w:rsid w:val="0081633E"/>
    <w:rsid w:val="00837FAB"/>
    <w:rsid w:val="00840A26"/>
    <w:rsid w:val="00844518"/>
    <w:rsid w:val="00852E4F"/>
    <w:rsid w:val="00856186"/>
    <w:rsid w:val="00860485"/>
    <w:rsid w:val="00864ACF"/>
    <w:rsid w:val="00870D1A"/>
    <w:rsid w:val="00881B5F"/>
    <w:rsid w:val="00886E0D"/>
    <w:rsid w:val="008902F9"/>
    <w:rsid w:val="00893719"/>
    <w:rsid w:val="008A1B4D"/>
    <w:rsid w:val="008B4181"/>
    <w:rsid w:val="008C7B0A"/>
    <w:rsid w:val="008D0F9E"/>
    <w:rsid w:val="008D6A01"/>
    <w:rsid w:val="008F71D5"/>
    <w:rsid w:val="009030DB"/>
    <w:rsid w:val="00903E5F"/>
    <w:rsid w:val="00914E0F"/>
    <w:rsid w:val="00921F11"/>
    <w:rsid w:val="00937AB6"/>
    <w:rsid w:val="009469D9"/>
    <w:rsid w:val="0096540D"/>
    <w:rsid w:val="00971F2D"/>
    <w:rsid w:val="0098388A"/>
    <w:rsid w:val="009B4254"/>
    <w:rsid w:val="009C3E05"/>
    <w:rsid w:val="009C7DC6"/>
    <w:rsid w:val="009D1DDF"/>
    <w:rsid w:val="009F488D"/>
    <w:rsid w:val="009F6B92"/>
    <w:rsid w:val="00A06D3E"/>
    <w:rsid w:val="00A22582"/>
    <w:rsid w:val="00A24F27"/>
    <w:rsid w:val="00A25A3C"/>
    <w:rsid w:val="00A337E0"/>
    <w:rsid w:val="00A44E46"/>
    <w:rsid w:val="00A4636D"/>
    <w:rsid w:val="00A62C7F"/>
    <w:rsid w:val="00A63A8A"/>
    <w:rsid w:val="00A70835"/>
    <w:rsid w:val="00A72BCA"/>
    <w:rsid w:val="00A75924"/>
    <w:rsid w:val="00AA04AD"/>
    <w:rsid w:val="00AA34E8"/>
    <w:rsid w:val="00AD1BBC"/>
    <w:rsid w:val="00AD7955"/>
    <w:rsid w:val="00AD7CBE"/>
    <w:rsid w:val="00AE0D87"/>
    <w:rsid w:val="00AE1148"/>
    <w:rsid w:val="00AE4C18"/>
    <w:rsid w:val="00AE4CC9"/>
    <w:rsid w:val="00AE5750"/>
    <w:rsid w:val="00AF1206"/>
    <w:rsid w:val="00B0729F"/>
    <w:rsid w:val="00B144A1"/>
    <w:rsid w:val="00B16BA7"/>
    <w:rsid w:val="00B256C8"/>
    <w:rsid w:val="00B32758"/>
    <w:rsid w:val="00B3347D"/>
    <w:rsid w:val="00B478ED"/>
    <w:rsid w:val="00B51F20"/>
    <w:rsid w:val="00B5524A"/>
    <w:rsid w:val="00B671CD"/>
    <w:rsid w:val="00B67ABD"/>
    <w:rsid w:val="00B85A35"/>
    <w:rsid w:val="00BA5AD3"/>
    <w:rsid w:val="00BB6128"/>
    <w:rsid w:val="00BB79B0"/>
    <w:rsid w:val="00BD0A13"/>
    <w:rsid w:val="00BE42F5"/>
    <w:rsid w:val="00BF2900"/>
    <w:rsid w:val="00BF2B88"/>
    <w:rsid w:val="00BF77D6"/>
    <w:rsid w:val="00C01297"/>
    <w:rsid w:val="00C2242F"/>
    <w:rsid w:val="00C32AEC"/>
    <w:rsid w:val="00C3720C"/>
    <w:rsid w:val="00C6088D"/>
    <w:rsid w:val="00C802CC"/>
    <w:rsid w:val="00C82623"/>
    <w:rsid w:val="00CA5572"/>
    <w:rsid w:val="00CB021A"/>
    <w:rsid w:val="00CB6847"/>
    <w:rsid w:val="00CC1137"/>
    <w:rsid w:val="00CD1F7D"/>
    <w:rsid w:val="00CE79CD"/>
    <w:rsid w:val="00D10B76"/>
    <w:rsid w:val="00D24182"/>
    <w:rsid w:val="00D30797"/>
    <w:rsid w:val="00D60999"/>
    <w:rsid w:val="00D7006F"/>
    <w:rsid w:val="00D8163F"/>
    <w:rsid w:val="00D93683"/>
    <w:rsid w:val="00D9588D"/>
    <w:rsid w:val="00DA1258"/>
    <w:rsid w:val="00DC76C9"/>
    <w:rsid w:val="00DE53DA"/>
    <w:rsid w:val="00DF4362"/>
    <w:rsid w:val="00E066D0"/>
    <w:rsid w:val="00E06CB2"/>
    <w:rsid w:val="00E24F6E"/>
    <w:rsid w:val="00E31561"/>
    <w:rsid w:val="00E32B8C"/>
    <w:rsid w:val="00E34B30"/>
    <w:rsid w:val="00E35282"/>
    <w:rsid w:val="00E54597"/>
    <w:rsid w:val="00E827E9"/>
    <w:rsid w:val="00E83889"/>
    <w:rsid w:val="00E96C1F"/>
    <w:rsid w:val="00EE5BCE"/>
    <w:rsid w:val="00EE6325"/>
    <w:rsid w:val="00EF6B7F"/>
    <w:rsid w:val="00F004D8"/>
    <w:rsid w:val="00F074AC"/>
    <w:rsid w:val="00F10222"/>
    <w:rsid w:val="00F3613D"/>
    <w:rsid w:val="00F37AE8"/>
    <w:rsid w:val="00F56A97"/>
    <w:rsid w:val="00F671DA"/>
    <w:rsid w:val="00F67BB5"/>
    <w:rsid w:val="00F90F1C"/>
    <w:rsid w:val="00FB363E"/>
    <w:rsid w:val="00FB5075"/>
    <w:rsid w:val="00FB6761"/>
    <w:rsid w:val="00FC0D6B"/>
    <w:rsid w:val="00FC2FBD"/>
    <w:rsid w:val="00FC59CD"/>
    <w:rsid w:val="00FD55E1"/>
    <w:rsid w:val="00FD6F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330D7"/>
  <w15:chartTrackingRefBased/>
  <w15:docId w15:val="{1285199E-9F84-4998-94F3-1420EDFC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2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250"/>
    <w:pPr>
      <w:ind w:left="720"/>
      <w:contextualSpacing/>
    </w:pPr>
  </w:style>
  <w:style w:type="table" w:styleId="TableGrid">
    <w:name w:val="Table Grid"/>
    <w:basedOn w:val="TableNormal"/>
    <w:uiPriority w:val="39"/>
    <w:rsid w:val="00870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A3C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AE114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E1148"/>
    <w:rPr>
      <w:rFonts w:ascii="Times New Roman" w:hAnsi="Times New Roman" w:cs="Times New Roman"/>
      <w:sz w:val="18"/>
      <w:szCs w:val="18"/>
    </w:rPr>
  </w:style>
  <w:style w:type="character" w:styleId="Hyperlink">
    <w:name w:val="Hyperlink"/>
    <w:basedOn w:val="DefaultParagraphFont"/>
    <w:uiPriority w:val="99"/>
    <w:unhideWhenUsed/>
    <w:rsid w:val="000B2676"/>
    <w:rPr>
      <w:color w:val="0563C1" w:themeColor="hyperlink"/>
      <w:u w:val="single"/>
    </w:rPr>
  </w:style>
  <w:style w:type="character" w:styleId="UnresolvedMention">
    <w:name w:val="Unresolved Mention"/>
    <w:basedOn w:val="DefaultParagraphFont"/>
    <w:uiPriority w:val="99"/>
    <w:semiHidden/>
    <w:unhideWhenUsed/>
    <w:rsid w:val="000B2676"/>
    <w:rPr>
      <w:color w:val="605E5C"/>
      <w:shd w:val="clear" w:color="auto" w:fill="E1DFDD"/>
    </w:rPr>
  </w:style>
  <w:style w:type="character" w:styleId="FollowedHyperlink">
    <w:name w:val="FollowedHyperlink"/>
    <w:basedOn w:val="DefaultParagraphFont"/>
    <w:uiPriority w:val="99"/>
    <w:semiHidden/>
    <w:unhideWhenUsed/>
    <w:rsid w:val="000B2676"/>
    <w:rPr>
      <w:color w:val="954F72" w:themeColor="followedHyperlink"/>
      <w:u w:val="single"/>
    </w:rPr>
  </w:style>
  <w:style w:type="table" w:styleId="GridTable1Light">
    <w:name w:val="Grid Table 1 Light"/>
    <w:basedOn w:val="TableNormal"/>
    <w:uiPriority w:val="46"/>
    <w:rsid w:val="000920E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41324C"/>
    <w:rPr>
      <w:color w:val="808080"/>
    </w:rPr>
  </w:style>
  <w:style w:type="table" w:styleId="PlainTable2">
    <w:name w:val="Plain Table 2"/>
    <w:basedOn w:val="TableNormal"/>
    <w:uiPriority w:val="42"/>
    <w:rsid w:val="00692FF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nhideWhenUsed/>
    <w:rsid w:val="00AA04AD"/>
    <w:pPr>
      <w:tabs>
        <w:tab w:val="center" w:pos="4513"/>
        <w:tab w:val="right" w:pos="9026"/>
      </w:tabs>
      <w:spacing w:after="0" w:line="240" w:lineRule="auto"/>
    </w:pPr>
    <w:rPr>
      <w:rFonts w:ascii="Times New Roman" w:eastAsia="Times New Roman" w:hAnsi="Times New Roman" w:cs="Times New Roman"/>
      <w:szCs w:val="24"/>
      <w:lang w:val="en-US"/>
    </w:rPr>
  </w:style>
  <w:style w:type="character" w:customStyle="1" w:styleId="HeaderChar">
    <w:name w:val="Header Char"/>
    <w:basedOn w:val="DefaultParagraphFont"/>
    <w:link w:val="Header"/>
    <w:rsid w:val="00AA04AD"/>
    <w:rPr>
      <w:rFonts w:ascii="Times New Roman" w:eastAsia="Times New Roman" w:hAnsi="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82791">
      <w:bodyDiv w:val="1"/>
      <w:marLeft w:val="0"/>
      <w:marRight w:val="0"/>
      <w:marTop w:val="0"/>
      <w:marBottom w:val="0"/>
      <w:divBdr>
        <w:top w:val="none" w:sz="0" w:space="0" w:color="auto"/>
        <w:left w:val="none" w:sz="0" w:space="0" w:color="auto"/>
        <w:bottom w:val="none" w:sz="0" w:space="0" w:color="auto"/>
        <w:right w:val="none" w:sz="0" w:space="0" w:color="auto"/>
      </w:divBdr>
    </w:div>
    <w:div w:id="316888302">
      <w:bodyDiv w:val="1"/>
      <w:marLeft w:val="0"/>
      <w:marRight w:val="0"/>
      <w:marTop w:val="0"/>
      <w:marBottom w:val="0"/>
      <w:divBdr>
        <w:top w:val="none" w:sz="0" w:space="0" w:color="auto"/>
        <w:left w:val="none" w:sz="0" w:space="0" w:color="auto"/>
        <w:bottom w:val="none" w:sz="0" w:space="0" w:color="auto"/>
        <w:right w:val="none" w:sz="0" w:space="0" w:color="auto"/>
      </w:divBdr>
    </w:div>
    <w:div w:id="564410316">
      <w:bodyDiv w:val="1"/>
      <w:marLeft w:val="0"/>
      <w:marRight w:val="0"/>
      <w:marTop w:val="0"/>
      <w:marBottom w:val="0"/>
      <w:divBdr>
        <w:top w:val="none" w:sz="0" w:space="0" w:color="auto"/>
        <w:left w:val="none" w:sz="0" w:space="0" w:color="auto"/>
        <w:bottom w:val="none" w:sz="0" w:space="0" w:color="auto"/>
        <w:right w:val="none" w:sz="0" w:space="0" w:color="auto"/>
      </w:divBdr>
    </w:div>
    <w:div w:id="918254650">
      <w:bodyDiv w:val="1"/>
      <w:marLeft w:val="0"/>
      <w:marRight w:val="0"/>
      <w:marTop w:val="0"/>
      <w:marBottom w:val="0"/>
      <w:divBdr>
        <w:top w:val="none" w:sz="0" w:space="0" w:color="auto"/>
        <w:left w:val="none" w:sz="0" w:space="0" w:color="auto"/>
        <w:bottom w:val="none" w:sz="0" w:space="0" w:color="auto"/>
        <w:right w:val="none" w:sz="0" w:space="0" w:color="auto"/>
      </w:divBdr>
    </w:div>
    <w:div w:id="1440681969">
      <w:bodyDiv w:val="1"/>
      <w:marLeft w:val="0"/>
      <w:marRight w:val="0"/>
      <w:marTop w:val="0"/>
      <w:marBottom w:val="0"/>
      <w:divBdr>
        <w:top w:val="none" w:sz="0" w:space="0" w:color="auto"/>
        <w:left w:val="none" w:sz="0" w:space="0" w:color="auto"/>
        <w:bottom w:val="none" w:sz="0" w:space="0" w:color="auto"/>
        <w:right w:val="none" w:sz="0" w:space="0" w:color="auto"/>
      </w:divBdr>
      <w:divsChild>
        <w:div w:id="1266307884">
          <w:marLeft w:val="1080"/>
          <w:marRight w:val="0"/>
          <w:marTop w:val="100"/>
          <w:marBottom w:val="0"/>
          <w:divBdr>
            <w:top w:val="none" w:sz="0" w:space="0" w:color="auto"/>
            <w:left w:val="none" w:sz="0" w:space="0" w:color="auto"/>
            <w:bottom w:val="none" w:sz="0" w:space="0" w:color="auto"/>
            <w:right w:val="none" w:sz="0" w:space="0" w:color="auto"/>
          </w:divBdr>
        </w:div>
      </w:divsChild>
    </w:div>
    <w:div w:id="1577323690">
      <w:bodyDiv w:val="1"/>
      <w:marLeft w:val="0"/>
      <w:marRight w:val="0"/>
      <w:marTop w:val="0"/>
      <w:marBottom w:val="0"/>
      <w:divBdr>
        <w:top w:val="none" w:sz="0" w:space="0" w:color="auto"/>
        <w:left w:val="none" w:sz="0" w:space="0" w:color="auto"/>
        <w:bottom w:val="none" w:sz="0" w:space="0" w:color="auto"/>
        <w:right w:val="none" w:sz="0" w:space="0" w:color="auto"/>
      </w:divBdr>
    </w:div>
    <w:div w:id="200130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A5F6697550F64C8AB8EDE91AB08832" ma:contentTypeVersion="12" ma:contentTypeDescription="Create a new document." ma:contentTypeScope="" ma:versionID="3ff7bc9a655c1667a32f003b0a9561fa">
  <xsd:schema xmlns:xsd="http://www.w3.org/2001/XMLSchema" xmlns:xs="http://www.w3.org/2001/XMLSchema" xmlns:p="http://schemas.microsoft.com/office/2006/metadata/properties" xmlns:ns3="c1e6d9f8-516a-4b80-a05c-bfe302b5b2a1" xmlns:ns4="fe5f7a28-8397-4713-9501-2190e0853d16" targetNamespace="http://schemas.microsoft.com/office/2006/metadata/properties" ma:root="true" ma:fieldsID="e9ed54f24f280f98f2c28440ef4c8324" ns3:_="" ns4:_="">
    <xsd:import namespace="c1e6d9f8-516a-4b80-a05c-bfe302b5b2a1"/>
    <xsd:import namespace="fe5f7a28-8397-4713-9501-2190e0853d1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e6d9f8-516a-4b80-a05c-bfe302b5b2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5f7a28-8397-4713-9501-2190e0853d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DE6B0C-6CA1-407A-A2FE-08462E3105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e6d9f8-516a-4b80-a05c-bfe302b5b2a1"/>
    <ds:schemaRef ds:uri="fe5f7a28-8397-4713-9501-2190e0853d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D4D4FF-12E8-409C-8D13-CDC0BAAFE8F0}">
  <ds:schemaRefs>
    <ds:schemaRef ds:uri="http://schemas.openxmlformats.org/officeDocument/2006/bibliography"/>
  </ds:schemaRefs>
</ds:datastoreItem>
</file>

<file path=customXml/itemProps3.xml><?xml version="1.0" encoding="utf-8"?>
<ds:datastoreItem xmlns:ds="http://schemas.openxmlformats.org/officeDocument/2006/customXml" ds:itemID="{A87D7830-F7C2-43A5-879A-4B20DF472C0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59F5820-4010-452B-8C1C-964C8C893C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Bouchra Benzennou</dc:creator>
  <cp:keywords/>
  <dc:description/>
  <cp:lastModifiedBy>Demelza Pilgrim</cp:lastModifiedBy>
  <cp:revision>8</cp:revision>
  <cp:lastPrinted>2020-09-27T17:49:00Z</cp:lastPrinted>
  <dcterms:created xsi:type="dcterms:W3CDTF">2025-08-20T14:44:00Z</dcterms:created>
  <dcterms:modified xsi:type="dcterms:W3CDTF">2025-08-20T14:48:00Z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0x01010062A5F6697550F64C8AB8EDE91AB08832</vt:lpwstr>
  </property>
</Properties>
</file>