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C3906" w14:textId="516EDC6C" w:rsidR="00DA2810" w:rsidRDefault="00DA2810" w:rsidP="00E27EF2">
      <w:pPr>
        <w:spacing w:line="240" w:lineRule="auto"/>
        <w:jc w:val="both"/>
        <w:rPr>
          <w:rFonts w:ascii="Times New Roman" w:hAnsi="Times New Roman" w:cs="Times New Roman"/>
          <w:sz w:val="24"/>
          <w:szCs w:val="24"/>
        </w:rPr>
      </w:pPr>
      <w:r>
        <w:rPr>
          <w:rFonts w:ascii="Times New Roman" w:hAnsi="Times New Roman" w:cs="Times New Roman"/>
          <w:sz w:val="24"/>
          <w:szCs w:val="24"/>
        </w:rPr>
        <w:t>Nguyen Thanh Binh_25062677_FIM_A1</w:t>
      </w:r>
    </w:p>
    <w:p w14:paraId="31C0520F" w14:textId="5BC96D8A" w:rsidR="00C84EB6" w:rsidRPr="006C06AD" w:rsidRDefault="006C06AD" w:rsidP="00E27EF2">
      <w:pPr>
        <w:spacing w:line="240" w:lineRule="auto"/>
        <w:jc w:val="both"/>
        <w:rPr>
          <w:rFonts w:ascii="Times New Roman" w:hAnsi="Times New Roman" w:cs="Times New Roman"/>
          <w:sz w:val="24"/>
          <w:szCs w:val="24"/>
        </w:rPr>
      </w:pPr>
      <w:r w:rsidRPr="006C06AD">
        <w:rPr>
          <w:rFonts w:ascii="Times New Roman" w:hAnsi="Times New Roman" w:cs="Times New Roman"/>
          <w:sz w:val="24"/>
          <w:szCs w:val="24"/>
        </w:rPr>
        <w:t>Student Number: 25062677</w:t>
      </w:r>
    </w:p>
    <w:p w14:paraId="65499D51" w14:textId="2A382191" w:rsidR="006C06AD" w:rsidRPr="006C06AD" w:rsidRDefault="006C06AD" w:rsidP="00E27EF2">
      <w:pPr>
        <w:spacing w:line="240" w:lineRule="auto"/>
        <w:jc w:val="both"/>
        <w:rPr>
          <w:rFonts w:ascii="Times New Roman" w:hAnsi="Times New Roman" w:cs="Times New Roman"/>
          <w:b/>
          <w:bCs/>
          <w:color w:val="000000" w:themeColor="text1"/>
          <w:sz w:val="24"/>
          <w:szCs w:val="24"/>
        </w:rPr>
      </w:pPr>
      <w:r w:rsidRPr="006C06AD">
        <w:rPr>
          <w:rFonts w:ascii="Times New Roman" w:hAnsi="Times New Roman" w:cs="Times New Roman"/>
          <w:sz w:val="24"/>
          <w:szCs w:val="24"/>
        </w:rPr>
        <w:t xml:space="preserve">Module Name: Financial Institutions and Markets </w:t>
      </w:r>
      <w:r w:rsidRPr="006C06AD">
        <w:rPr>
          <w:rFonts w:ascii="Times New Roman" w:hAnsi="Times New Roman" w:cs="Times New Roman"/>
          <w:b/>
          <w:bCs/>
          <w:color w:val="000000" w:themeColor="text1"/>
          <w:sz w:val="24"/>
          <w:szCs w:val="24"/>
        </w:rPr>
        <w:t>UMED8H-30-1</w:t>
      </w:r>
    </w:p>
    <w:p w14:paraId="0F9B1AFC" w14:textId="44D3A36B" w:rsidR="006C06AD" w:rsidRPr="006C06AD" w:rsidRDefault="006C06AD" w:rsidP="00E27EF2">
      <w:pPr>
        <w:spacing w:line="240" w:lineRule="auto"/>
        <w:jc w:val="both"/>
        <w:rPr>
          <w:rFonts w:ascii="Times New Roman" w:hAnsi="Times New Roman" w:cs="Times New Roman"/>
          <w:sz w:val="24"/>
          <w:szCs w:val="24"/>
        </w:rPr>
      </w:pPr>
      <w:r w:rsidRPr="006C06AD">
        <w:rPr>
          <w:rFonts w:ascii="Times New Roman" w:hAnsi="Times New Roman" w:cs="Times New Roman"/>
          <w:sz w:val="24"/>
          <w:szCs w:val="24"/>
        </w:rPr>
        <w:t>Word Count:</w:t>
      </w:r>
      <w:r w:rsidR="00053EF0">
        <w:rPr>
          <w:rFonts w:ascii="Times New Roman" w:hAnsi="Times New Roman" w:cs="Times New Roman"/>
          <w:sz w:val="24"/>
          <w:szCs w:val="24"/>
        </w:rPr>
        <w:t xml:space="preserve"> </w:t>
      </w:r>
      <w:r w:rsidR="00704BC1">
        <w:rPr>
          <w:rFonts w:ascii="Times New Roman" w:hAnsi="Times New Roman" w:cs="Times New Roman"/>
          <w:sz w:val="24"/>
          <w:szCs w:val="24"/>
        </w:rPr>
        <w:t>1057</w:t>
      </w:r>
    </w:p>
    <w:p w14:paraId="1908F871" w14:textId="1EDB70CA" w:rsidR="006C06AD" w:rsidRDefault="006C06AD" w:rsidP="00E27EF2">
      <w:pPr>
        <w:spacing w:line="240" w:lineRule="auto"/>
        <w:jc w:val="both"/>
        <w:rPr>
          <w:rFonts w:ascii="Times New Roman" w:hAnsi="Times New Roman" w:cs="Times New Roman"/>
          <w:i/>
          <w:iCs/>
          <w:color w:val="222A35"/>
          <w:sz w:val="24"/>
          <w:szCs w:val="24"/>
        </w:rPr>
      </w:pPr>
      <w:r w:rsidRPr="006C06AD">
        <w:rPr>
          <w:rFonts w:ascii="Times New Roman" w:hAnsi="Times New Roman" w:cs="Times New Roman"/>
          <w:sz w:val="24"/>
          <w:szCs w:val="24"/>
        </w:rPr>
        <w:t xml:space="preserve">Essay Question: </w:t>
      </w:r>
      <w:r w:rsidRPr="006C06AD">
        <w:rPr>
          <w:rFonts w:ascii="Times New Roman" w:hAnsi="Times New Roman" w:cs="Times New Roman"/>
          <w:b/>
          <w:bCs/>
          <w:color w:val="222A35"/>
          <w:sz w:val="24"/>
          <w:szCs w:val="24"/>
        </w:rPr>
        <w:t>Pension fund investment in alternative assets</w:t>
      </w:r>
      <w:r>
        <w:rPr>
          <w:rFonts w:ascii="Times New Roman" w:hAnsi="Times New Roman" w:cs="Times New Roman"/>
          <w:color w:val="222A35"/>
          <w:sz w:val="24"/>
          <w:szCs w:val="24"/>
        </w:rPr>
        <w:t xml:space="preserve"> “</w:t>
      </w:r>
      <w:r w:rsidRPr="006C06AD">
        <w:rPr>
          <w:rFonts w:ascii="Times New Roman" w:hAnsi="Times New Roman" w:cs="Times New Roman"/>
          <w:i/>
          <w:iCs/>
          <w:color w:val="222A35"/>
          <w:sz w:val="24"/>
          <w:szCs w:val="24"/>
        </w:rPr>
        <w:t>Does this improve diversification, or does it introduce hidden risks?</w:t>
      </w:r>
      <w:r>
        <w:rPr>
          <w:rFonts w:ascii="Times New Roman" w:hAnsi="Times New Roman" w:cs="Times New Roman"/>
          <w:i/>
          <w:iCs/>
          <w:color w:val="222A35"/>
          <w:sz w:val="24"/>
          <w:szCs w:val="24"/>
        </w:rPr>
        <w:t>”</w:t>
      </w:r>
    </w:p>
    <w:p w14:paraId="2AED3F8C" w14:textId="6AABA14B" w:rsidR="006C06AD" w:rsidRDefault="006C06AD" w:rsidP="00E27EF2">
      <w:pPr>
        <w:spacing w:line="240" w:lineRule="auto"/>
        <w:jc w:val="both"/>
        <w:rPr>
          <w:rFonts w:ascii="Times New Roman" w:hAnsi="Times New Roman" w:cs="Times New Roman"/>
          <w:color w:val="222A35"/>
          <w:sz w:val="24"/>
          <w:szCs w:val="24"/>
        </w:rPr>
      </w:pPr>
      <w:r>
        <w:rPr>
          <w:rFonts w:ascii="Times New Roman" w:hAnsi="Times New Roman" w:cs="Times New Roman"/>
          <w:color w:val="222A35"/>
          <w:sz w:val="24"/>
          <w:szCs w:val="24"/>
        </w:rPr>
        <w:br w:type="page"/>
      </w:r>
    </w:p>
    <w:p w14:paraId="4BF79B78" w14:textId="5BE0CE67" w:rsidR="006B0795" w:rsidRDefault="008E00F5" w:rsidP="00E27EF2">
      <w:pPr>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For a </w:t>
      </w:r>
      <w:r w:rsidR="002A0A26">
        <w:rPr>
          <w:rFonts w:ascii="Times New Roman" w:hAnsi="Times New Roman" w:cs="Times New Roman"/>
          <w:sz w:val="24"/>
          <w:szCs w:val="24"/>
        </w:rPr>
        <w:t>long time, pension funds focused</w:t>
      </w:r>
      <w:r w:rsidR="003E27A0" w:rsidRPr="003E27A0">
        <w:rPr>
          <w:rFonts w:ascii="Times New Roman" w:hAnsi="Times New Roman" w:cs="Times New Roman"/>
          <w:sz w:val="24"/>
          <w:szCs w:val="24"/>
        </w:rPr>
        <w:t xml:space="preserve"> their investments </w:t>
      </w:r>
      <w:r w:rsidR="00AC4543">
        <w:rPr>
          <w:rFonts w:ascii="Times New Roman" w:hAnsi="Times New Roman" w:cs="Times New Roman"/>
          <w:sz w:val="24"/>
          <w:szCs w:val="24"/>
        </w:rPr>
        <w:t>primarily on traditional assets, such as publicly traded stocks and government bonds, to achieve steady growth and reliable income</w:t>
      </w:r>
      <w:r w:rsidR="003E27A0" w:rsidRPr="003E27A0">
        <w:rPr>
          <w:rFonts w:ascii="Times New Roman" w:hAnsi="Times New Roman" w:cs="Times New Roman"/>
          <w:sz w:val="24"/>
          <w:szCs w:val="24"/>
        </w:rPr>
        <w:t>.</w:t>
      </w:r>
      <w:r w:rsidR="003E27A0">
        <w:rPr>
          <w:rFonts w:ascii="Times New Roman" w:hAnsi="Times New Roman" w:cs="Times New Roman"/>
          <w:sz w:val="24"/>
          <w:szCs w:val="24"/>
        </w:rPr>
        <w:t xml:space="preserve"> </w:t>
      </w:r>
      <w:r w:rsidR="002A0A26">
        <w:rPr>
          <w:rFonts w:ascii="Times New Roman" w:hAnsi="Times New Roman" w:cs="Times New Roman"/>
          <w:sz w:val="24"/>
          <w:szCs w:val="24"/>
        </w:rPr>
        <w:t xml:space="preserve">However, over the last two decades, the global investment landscape has witnessed a significant transformation. </w:t>
      </w:r>
      <w:r w:rsidR="00D83D70">
        <w:rPr>
          <w:rFonts w:ascii="Times New Roman" w:hAnsi="Times New Roman" w:cs="Times New Roman"/>
          <w:sz w:val="24"/>
          <w:szCs w:val="24"/>
        </w:rPr>
        <w:t>F</w:t>
      </w:r>
      <w:r w:rsidR="0030257E" w:rsidRPr="0030257E">
        <w:rPr>
          <w:rFonts w:ascii="Times New Roman" w:hAnsi="Times New Roman" w:cs="Times New Roman"/>
          <w:sz w:val="24"/>
          <w:szCs w:val="24"/>
        </w:rPr>
        <w:t>und managers have increasingly shifted their capital toward alternative options, including private equity, real estate, and infrastructure</w:t>
      </w:r>
      <w:r w:rsidR="0030257E">
        <w:rPr>
          <w:rFonts w:ascii="Times New Roman" w:hAnsi="Times New Roman" w:cs="Times New Roman"/>
          <w:sz w:val="24"/>
          <w:szCs w:val="24"/>
        </w:rPr>
        <w:t xml:space="preserve"> </w:t>
      </w:r>
      <w:r w:rsidR="0030257E">
        <w:rPr>
          <w:rFonts w:ascii="Times New Roman" w:hAnsi="Times New Roman" w:cs="Times New Roman"/>
          <w:sz w:val="24"/>
          <w:szCs w:val="24"/>
        </w:rPr>
        <w:fldChar w:fldCharType="begin"/>
      </w:r>
      <w:r w:rsidR="0030257E">
        <w:rPr>
          <w:rFonts w:ascii="Times New Roman" w:hAnsi="Times New Roman" w:cs="Times New Roman"/>
          <w:sz w:val="24"/>
          <w:szCs w:val="24"/>
        </w:rPr>
        <w:instrText xml:space="preserve"> ADDIN ZOTERO_ITEM CSL_CITATION {"citationID":"3cyDhAww","properties":{"formattedCitation":"(Hurman, N., 2024)","plainCitation":"(Hurman, N., 2024)","dontUpdate":true,"noteIndex":0},"citationItems":[{"id":41,"uris":["http://zotero.org/users/local/R5xVNRvV/items/M2QIVU44"],"itemData":{"id":41,"type":"webpage","title":"Pension scheme assets – a deep dive into alternatives","URL":"https://www.pensionspolicyinstitute.org.uk/media/ugen4wez/20240916-deep-dive-1.pdf","author":[{"literal":"Hurman, N."}],"accessed":{"date-parts":[["2026",3,13]]},"issued":{"date-parts":[["2024",10,3]]}}}],"schema":"https://github.com/citation-style-language/schema/raw/master/csl-citation.json"} </w:instrText>
      </w:r>
      <w:r w:rsidR="0030257E">
        <w:rPr>
          <w:rFonts w:ascii="Times New Roman" w:hAnsi="Times New Roman" w:cs="Times New Roman"/>
          <w:sz w:val="24"/>
          <w:szCs w:val="24"/>
        </w:rPr>
        <w:fldChar w:fldCharType="separate"/>
      </w:r>
      <w:r w:rsidR="0030257E" w:rsidRPr="0030257E">
        <w:rPr>
          <w:rFonts w:ascii="Times New Roman" w:hAnsi="Times New Roman" w:cs="Times New Roman"/>
          <w:sz w:val="24"/>
        </w:rPr>
        <w:t>(Hurman, 2024)</w:t>
      </w:r>
      <w:r w:rsidR="0030257E">
        <w:rPr>
          <w:rFonts w:ascii="Times New Roman" w:hAnsi="Times New Roman" w:cs="Times New Roman"/>
          <w:sz w:val="24"/>
          <w:szCs w:val="24"/>
        </w:rPr>
        <w:fldChar w:fldCharType="end"/>
      </w:r>
      <w:r w:rsidR="0030257E" w:rsidRPr="0030257E">
        <w:rPr>
          <w:rFonts w:ascii="Times New Roman" w:hAnsi="Times New Roman" w:cs="Times New Roman"/>
          <w:sz w:val="24"/>
          <w:szCs w:val="24"/>
        </w:rPr>
        <w:t xml:space="preserve">. </w:t>
      </w:r>
      <w:r w:rsidR="00AC4543" w:rsidRPr="00AC4543">
        <w:rPr>
          <w:rFonts w:ascii="Times New Roman" w:hAnsi="Times New Roman" w:cs="Times New Roman"/>
          <w:sz w:val="24"/>
          <w:szCs w:val="24"/>
        </w:rPr>
        <w:t xml:space="preserve">This change was </w:t>
      </w:r>
      <w:r w:rsidR="00AC4543">
        <w:rPr>
          <w:rFonts w:ascii="Times New Roman" w:hAnsi="Times New Roman" w:cs="Times New Roman"/>
          <w:sz w:val="24"/>
          <w:szCs w:val="24"/>
        </w:rPr>
        <w:t>mainly</w:t>
      </w:r>
      <w:r w:rsidR="00AC4543" w:rsidRPr="00AC4543">
        <w:rPr>
          <w:rFonts w:ascii="Times New Roman" w:hAnsi="Times New Roman" w:cs="Times New Roman"/>
          <w:sz w:val="24"/>
          <w:szCs w:val="24"/>
        </w:rPr>
        <w:t xml:space="preserve"> driven by the economic conditions following the 2008 financial crisis</w:t>
      </w:r>
      <w:r w:rsidR="00AC4543">
        <w:rPr>
          <w:rFonts w:ascii="Times New Roman" w:hAnsi="Times New Roman" w:cs="Times New Roman"/>
          <w:sz w:val="24"/>
          <w:szCs w:val="24"/>
        </w:rPr>
        <w:t xml:space="preserve">; </w:t>
      </w:r>
      <w:r w:rsidR="00AC4543" w:rsidRPr="00AC4543">
        <w:rPr>
          <w:rFonts w:ascii="Times New Roman" w:hAnsi="Times New Roman" w:cs="Times New Roman"/>
          <w:sz w:val="24"/>
          <w:szCs w:val="24"/>
        </w:rPr>
        <w:t>persistently low-interest rates reduced the returns on traditional bonds, leaving many pension schemes at risk of being unable to meet their long-term financial obligations.</w:t>
      </w:r>
      <w:r w:rsidR="00AC4543">
        <w:rPr>
          <w:rFonts w:ascii="Times New Roman" w:hAnsi="Times New Roman" w:cs="Times New Roman"/>
          <w:sz w:val="24"/>
          <w:szCs w:val="24"/>
        </w:rPr>
        <w:t xml:space="preserve"> </w:t>
      </w:r>
      <w:r w:rsidR="00AC4543" w:rsidRPr="00AC4543">
        <w:rPr>
          <w:rFonts w:ascii="Times New Roman" w:hAnsi="Times New Roman" w:cs="Times New Roman"/>
          <w:sz w:val="24"/>
          <w:szCs w:val="24"/>
        </w:rPr>
        <w:t>To address increasing liabilities, fund managers have shifted capital toward private markets in an effort to enhance total returns and satisfy future payment obligations</w:t>
      </w:r>
      <w:r w:rsidR="00AC4543">
        <w:rPr>
          <w:rFonts w:ascii="Times New Roman" w:hAnsi="Times New Roman" w:cs="Times New Roman"/>
          <w:sz w:val="24"/>
          <w:szCs w:val="24"/>
        </w:rPr>
        <w:t xml:space="preserve"> </w:t>
      </w:r>
      <w:r w:rsidR="00AC4543">
        <w:rPr>
          <w:rFonts w:ascii="Times New Roman" w:hAnsi="Times New Roman" w:cs="Times New Roman"/>
          <w:sz w:val="24"/>
          <w:szCs w:val="24"/>
        </w:rPr>
        <w:fldChar w:fldCharType="begin"/>
      </w:r>
      <w:r w:rsidR="007D709B">
        <w:rPr>
          <w:rFonts w:ascii="Times New Roman" w:hAnsi="Times New Roman" w:cs="Times New Roman"/>
          <w:sz w:val="24"/>
          <w:szCs w:val="24"/>
        </w:rPr>
        <w:instrText xml:space="preserve"> ADDIN ZOTERO_ITEM CSL_CITATION {"citationID":"Lbbai8hM","properties":{"formattedCitation":"(Layne, R, 2025)","plainCitation":"(Layne, R, 2025)","dontUpdate":true,"noteIndex":0},"citationItems":[{"id":42,"uris":["http://zotero.org/users/local/R5xVNRvV/items/Z3KBBQXW"],"itemData":{"id":42,"type":"webpage","abstract":"Public pensions are embracing riskier alternative assets, says research by Emil Siriwardane.","container-title":"Harvard Business School","language":"en-us","title":"Rethinking Risk: Why Pension Funds Are Betting on Alternative Assets | Working Knowledge","title-short":"Rethinking Risk","URL":"https://www.library.hbs.edu/working-knowledge/rethinking-risk-why-pension-funds-are-betting-on-alternative-assets","author":[{"literal":"Layne, R"}],"accessed":{"date-parts":[["2026",3,13]]},"issued":{"date-parts":[["2025",1,28]]}}}],"schema":"https://github.com/citation-style-language/schema/raw/master/csl-citation.json"} </w:instrText>
      </w:r>
      <w:r w:rsidR="00AC4543">
        <w:rPr>
          <w:rFonts w:ascii="Times New Roman" w:hAnsi="Times New Roman" w:cs="Times New Roman"/>
          <w:sz w:val="24"/>
          <w:szCs w:val="24"/>
        </w:rPr>
        <w:fldChar w:fldCharType="separate"/>
      </w:r>
      <w:r w:rsidR="00D93E9B" w:rsidRPr="00D93E9B">
        <w:rPr>
          <w:rFonts w:ascii="Times New Roman" w:hAnsi="Times New Roman" w:cs="Times New Roman"/>
          <w:sz w:val="24"/>
        </w:rPr>
        <w:t>(Layne, 2025)</w:t>
      </w:r>
      <w:r w:rsidR="00AC4543">
        <w:rPr>
          <w:rFonts w:ascii="Times New Roman" w:hAnsi="Times New Roman" w:cs="Times New Roman"/>
          <w:sz w:val="24"/>
          <w:szCs w:val="24"/>
        </w:rPr>
        <w:fldChar w:fldCharType="end"/>
      </w:r>
      <w:r w:rsidR="00AC4543" w:rsidRPr="00AC4543">
        <w:rPr>
          <w:rFonts w:ascii="Times New Roman" w:hAnsi="Times New Roman" w:cs="Times New Roman"/>
          <w:sz w:val="24"/>
          <w:szCs w:val="24"/>
        </w:rPr>
        <w:t>.</w:t>
      </w:r>
      <w:r w:rsidR="00AC4543">
        <w:rPr>
          <w:rFonts w:ascii="Times New Roman" w:hAnsi="Times New Roman" w:cs="Times New Roman"/>
          <w:sz w:val="24"/>
          <w:szCs w:val="24"/>
        </w:rPr>
        <w:t xml:space="preserve"> This essay will evaluate the </w:t>
      </w:r>
      <w:r w:rsidR="00AC4543" w:rsidRPr="00AC4543">
        <w:rPr>
          <w:rFonts w:ascii="Times New Roman" w:hAnsi="Times New Roman" w:cs="Times New Roman"/>
          <w:sz w:val="24"/>
          <w:szCs w:val="24"/>
        </w:rPr>
        <w:t>core debate regarding this strategic change: whether incorporating alternative assets truly improves portfolio diversification or if it mainly introduces significant hidden risks.</w:t>
      </w:r>
      <w:r w:rsidR="00AC4543">
        <w:rPr>
          <w:rFonts w:ascii="Times New Roman" w:hAnsi="Times New Roman" w:cs="Times New Roman"/>
          <w:sz w:val="24"/>
          <w:szCs w:val="24"/>
        </w:rPr>
        <w:t xml:space="preserve"> </w:t>
      </w:r>
    </w:p>
    <w:p w14:paraId="786E4EBE" w14:textId="77777777" w:rsidR="00531696" w:rsidRDefault="00531696" w:rsidP="00E27EF2">
      <w:pPr>
        <w:spacing w:line="240" w:lineRule="auto"/>
        <w:jc w:val="both"/>
        <w:rPr>
          <w:rFonts w:ascii="Times New Roman" w:hAnsi="Times New Roman" w:cs="Times New Roman"/>
          <w:sz w:val="24"/>
          <w:szCs w:val="24"/>
        </w:rPr>
      </w:pPr>
    </w:p>
    <w:p w14:paraId="29B360F2" w14:textId="0627729D" w:rsidR="003B74FD" w:rsidRDefault="00D93E9B" w:rsidP="00E27EF2">
      <w:pPr>
        <w:spacing w:line="240" w:lineRule="auto"/>
        <w:jc w:val="both"/>
        <w:rPr>
          <w:rFonts w:ascii="Times New Roman" w:hAnsi="Times New Roman" w:cs="Times New Roman"/>
          <w:sz w:val="24"/>
          <w:szCs w:val="24"/>
        </w:rPr>
      </w:pPr>
      <w:r w:rsidRPr="00D93E9B">
        <w:rPr>
          <w:rFonts w:ascii="Times New Roman" w:hAnsi="Times New Roman" w:cs="Times New Roman"/>
          <w:sz w:val="24"/>
          <w:szCs w:val="24"/>
        </w:rPr>
        <w:t>The primary argument supporting alternative investments is their ability to provide robust diversification and reduce overall portfolio volatility. According to modern portfolio theory, adding assets that possess a low correlation with traditional stock and bond markets improves the efficiency of a portfolio</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sidR="007D709B">
        <w:rPr>
          <w:rFonts w:ascii="Times New Roman" w:hAnsi="Times New Roman" w:cs="Times New Roman"/>
          <w:sz w:val="24"/>
          <w:szCs w:val="24"/>
        </w:rPr>
        <w:instrText xml:space="preserve"> ADDIN ZOTERO_ITEM CSL_CITATION {"citationID":"1zUYM29K","properties":{"formattedCitation":"(Roethler, E, 2023)","plainCitation":"(Roethler, E, 2023)","dontUpdate":true,"noteIndex":0},"citationItems":[{"id":43,"uris":["http://zotero.org/users/local/R5xVNRvV/items/ZPLCWNSF"],"itemData":{"id":43,"type":"webpage","abstract":"We dive into the knowledge gap preventing investors from pursuing alternatives and offer an overview of what alternative assets are.","language":"en","title":"Alternative investments: A portfolio diversification strategy","title-short":"Alternative investments","URL":"https://inspirafinancial.com/individual/resources-education/retirement-wealth/alternative-investments-diversification-strategy","author":[{"literal":"Roethler, E"}],"accessed":{"date-parts":[["2026",3,14]]},"issued":{"date-parts":[["2023",7,25]]}}}],"schema":"https://github.com/citation-style-language/schema/raw/master/csl-citation.json"} </w:instrText>
      </w:r>
      <w:r>
        <w:rPr>
          <w:rFonts w:ascii="Times New Roman" w:hAnsi="Times New Roman" w:cs="Times New Roman"/>
          <w:sz w:val="24"/>
          <w:szCs w:val="24"/>
        </w:rPr>
        <w:fldChar w:fldCharType="separate"/>
      </w:r>
      <w:r w:rsidRPr="00D93E9B">
        <w:rPr>
          <w:rFonts w:ascii="Times New Roman" w:hAnsi="Times New Roman" w:cs="Times New Roman"/>
          <w:sz w:val="24"/>
        </w:rPr>
        <w:t>(Roethler, 2023)</w:t>
      </w:r>
      <w:r>
        <w:rPr>
          <w:rFonts w:ascii="Times New Roman" w:hAnsi="Times New Roman" w:cs="Times New Roman"/>
          <w:sz w:val="24"/>
          <w:szCs w:val="24"/>
        </w:rPr>
        <w:fldChar w:fldCharType="end"/>
      </w:r>
      <w:r w:rsidRPr="00D93E9B">
        <w:rPr>
          <w:rFonts w:ascii="Times New Roman" w:hAnsi="Times New Roman" w:cs="Times New Roman"/>
          <w:sz w:val="24"/>
          <w:szCs w:val="24"/>
        </w:rPr>
        <w:t>.</w:t>
      </w:r>
      <w:r w:rsidR="007D709B">
        <w:rPr>
          <w:rFonts w:ascii="Times New Roman" w:hAnsi="Times New Roman" w:cs="Times New Roman"/>
          <w:sz w:val="24"/>
          <w:szCs w:val="24"/>
        </w:rPr>
        <w:t xml:space="preserve"> Alternative assets are frequently driven by different macroeconomic factors than public markets, so they do not automatically change when the stock markets crash. To be more specific, real assets like infrastructure and real estate provide a stable, strong, and reliable cash </w:t>
      </w:r>
      <w:r w:rsidR="007945FA">
        <w:rPr>
          <w:rFonts w:ascii="Times New Roman" w:hAnsi="Times New Roman" w:cs="Times New Roman"/>
          <w:sz w:val="24"/>
          <w:szCs w:val="24"/>
        </w:rPr>
        <w:t>flow</w:t>
      </w:r>
      <w:r w:rsidR="007D709B">
        <w:rPr>
          <w:rFonts w:ascii="Times New Roman" w:hAnsi="Times New Roman" w:cs="Times New Roman"/>
          <w:sz w:val="24"/>
          <w:szCs w:val="24"/>
        </w:rPr>
        <w:t xml:space="preserve"> that naturally </w:t>
      </w:r>
      <w:r w:rsidR="007945FA">
        <w:rPr>
          <w:rFonts w:ascii="Times New Roman" w:hAnsi="Times New Roman" w:cs="Times New Roman"/>
          <w:sz w:val="24"/>
          <w:szCs w:val="24"/>
        </w:rPr>
        <w:t>matches</w:t>
      </w:r>
      <w:r w:rsidR="007D709B">
        <w:rPr>
          <w:rFonts w:ascii="Times New Roman" w:hAnsi="Times New Roman" w:cs="Times New Roman"/>
          <w:sz w:val="24"/>
          <w:szCs w:val="24"/>
        </w:rPr>
        <w:t xml:space="preserve"> the long-term </w:t>
      </w:r>
      <w:r w:rsidR="007D709B" w:rsidRPr="007D709B">
        <w:rPr>
          <w:rFonts w:ascii="Times New Roman" w:hAnsi="Times New Roman" w:cs="Times New Roman"/>
          <w:sz w:val="24"/>
          <w:szCs w:val="24"/>
        </w:rPr>
        <w:t>payout liabilities of pension funds</w:t>
      </w:r>
      <w:r w:rsidR="007D709B">
        <w:rPr>
          <w:rFonts w:ascii="Times New Roman" w:hAnsi="Times New Roman" w:cs="Times New Roman"/>
          <w:sz w:val="24"/>
          <w:szCs w:val="24"/>
        </w:rPr>
        <w:t xml:space="preserve"> </w:t>
      </w:r>
      <w:r w:rsidR="007D709B">
        <w:rPr>
          <w:rFonts w:ascii="Times New Roman" w:hAnsi="Times New Roman" w:cs="Times New Roman"/>
          <w:sz w:val="24"/>
          <w:szCs w:val="24"/>
        </w:rPr>
        <w:fldChar w:fldCharType="begin"/>
      </w:r>
      <w:r w:rsidR="00FC1F7F">
        <w:rPr>
          <w:rFonts w:ascii="Times New Roman" w:hAnsi="Times New Roman" w:cs="Times New Roman"/>
          <w:sz w:val="24"/>
          <w:szCs w:val="24"/>
        </w:rPr>
        <w:instrText xml:space="preserve"> ADDIN ZOTERO_ITEM CSL_CITATION {"citationID":"YSd3tJNQ","properties":{"formattedCitation":"(Grandoit, Vega and Fang, 2021)","plainCitation":"(Grandoit, Vega and Fang, 2021)","noteIndex":0},"citationItems":[{"id":46,"uris":["http://zotero.org/users/local/R5xVNRvV/items/68P5U8PZ"],"itemData":{"id":46,"type":"article-journal","language":"en","page":"22-24","source":"Zotero","title":"The Role Of Alternative Assets In Pension Portfolios, Examined Through Risk Factor Analysis","author":[{"family":"Grandoit","given":"Caroline"},{"family":"Vega","given":"Daniella"},{"family":"Fang","given":"Yi"}],"issued":{"date-parts":[["2021"]]}}}],"schema":"https://github.com/citation-style-language/schema/raw/master/csl-citation.json"} </w:instrText>
      </w:r>
      <w:r w:rsidR="007D709B">
        <w:rPr>
          <w:rFonts w:ascii="Times New Roman" w:hAnsi="Times New Roman" w:cs="Times New Roman"/>
          <w:sz w:val="24"/>
          <w:szCs w:val="24"/>
        </w:rPr>
        <w:fldChar w:fldCharType="separate"/>
      </w:r>
      <w:r w:rsidR="0041031D" w:rsidRPr="0041031D">
        <w:rPr>
          <w:rFonts w:ascii="Times New Roman" w:hAnsi="Times New Roman" w:cs="Times New Roman"/>
          <w:sz w:val="24"/>
        </w:rPr>
        <w:t>(Grandoit, Vega and Fang, 2021)</w:t>
      </w:r>
      <w:r w:rsidR="007D709B">
        <w:rPr>
          <w:rFonts w:ascii="Times New Roman" w:hAnsi="Times New Roman" w:cs="Times New Roman"/>
          <w:sz w:val="24"/>
          <w:szCs w:val="24"/>
        </w:rPr>
        <w:fldChar w:fldCharType="end"/>
      </w:r>
      <w:r w:rsidR="007D709B" w:rsidRPr="007D709B">
        <w:rPr>
          <w:rFonts w:ascii="Times New Roman" w:hAnsi="Times New Roman" w:cs="Times New Roman"/>
          <w:sz w:val="24"/>
          <w:szCs w:val="24"/>
        </w:rPr>
        <w:t>.</w:t>
      </w:r>
      <w:r w:rsidR="007945FA">
        <w:rPr>
          <w:rFonts w:ascii="Times New Roman" w:hAnsi="Times New Roman" w:cs="Times New Roman"/>
          <w:sz w:val="24"/>
          <w:szCs w:val="24"/>
        </w:rPr>
        <w:t xml:space="preserve"> For instance, when inflation is rising, these assets protect purchasing power better </w:t>
      </w:r>
      <w:r w:rsidR="007945FA" w:rsidRPr="007945FA">
        <w:rPr>
          <w:rFonts w:ascii="Times New Roman" w:hAnsi="Times New Roman" w:cs="Times New Roman"/>
          <w:sz w:val="24"/>
          <w:szCs w:val="24"/>
        </w:rPr>
        <w:t>than fixed-income bonds, which typically lose capital value when central banks raise interest rates to combat inflation.</w:t>
      </w:r>
      <w:r w:rsidR="007945FA">
        <w:rPr>
          <w:rFonts w:ascii="Times New Roman" w:hAnsi="Times New Roman" w:cs="Times New Roman"/>
          <w:sz w:val="24"/>
          <w:szCs w:val="24"/>
        </w:rPr>
        <w:t xml:space="preserve"> </w:t>
      </w:r>
      <w:r w:rsidR="00C51458">
        <w:rPr>
          <w:rFonts w:ascii="Times New Roman" w:hAnsi="Times New Roman" w:cs="Times New Roman"/>
          <w:sz w:val="24"/>
          <w:szCs w:val="24"/>
        </w:rPr>
        <w:t>Furthermore, a</w:t>
      </w:r>
      <w:r w:rsidR="00C51458" w:rsidRPr="00C51458">
        <w:rPr>
          <w:rFonts w:ascii="Times New Roman" w:hAnsi="Times New Roman" w:cs="Times New Roman"/>
          <w:sz w:val="24"/>
          <w:szCs w:val="24"/>
        </w:rPr>
        <w:t>lternative assets are also sought after because of the "illiquidity premium</w:t>
      </w:r>
      <w:r w:rsidR="00C51458">
        <w:rPr>
          <w:rFonts w:ascii="Times New Roman" w:hAnsi="Times New Roman" w:cs="Times New Roman"/>
          <w:sz w:val="24"/>
          <w:szCs w:val="24"/>
        </w:rPr>
        <w:t>”,</w:t>
      </w:r>
      <w:r w:rsidR="00C51458" w:rsidRPr="00C51458">
        <w:rPr>
          <w:rFonts w:ascii="Times New Roman" w:hAnsi="Times New Roman" w:cs="Times New Roman"/>
          <w:sz w:val="24"/>
          <w:szCs w:val="24"/>
        </w:rPr>
        <w:t xml:space="preserve"> which is the expectation of earning greater absolute returns to make up for the commitment of capital for longer durations</w:t>
      </w:r>
      <w:r w:rsidR="00C51458">
        <w:rPr>
          <w:rFonts w:ascii="Times New Roman" w:hAnsi="Times New Roman" w:cs="Times New Roman"/>
          <w:sz w:val="24"/>
          <w:szCs w:val="24"/>
        </w:rPr>
        <w:t xml:space="preserve"> </w:t>
      </w:r>
      <w:r w:rsidR="00C51458">
        <w:rPr>
          <w:rFonts w:ascii="Times New Roman" w:hAnsi="Times New Roman" w:cs="Times New Roman"/>
          <w:sz w:val="24"/>
          <w:szCs w:val="24"/>
        </w:rPr>
        <w:fldChar w:fldCharType="begin"/>
      </w:r>
      <w:r w:rsidR="00C51458">
        <w:rPr>
          <w:rFonts w:ascii="Times New Roman" w:hAnsi="Times New Roman" w:cs="Times New Roman"/>
          <w:sz w:val="24"/>
          <w:szCs w:val="24"/>
        </w:rPr>
        <w:instrText xml:space="preserve"> ADDIN ZOTERO_ITEM CSL_CITATION {"citationID":"eFW8R3bs","properties":{"formattedCitation":"(American Investment Council, 2024)","plainCitation":"(American Investment Council, 2024)","noteIndex":0},"citationItems":[{"id":48,"uris":["http://zotero.org/users/local/R5xVNRvV/items/9SUJLHI7"],"itemData":{"id":48,"type":"report","title":"Private equity delivers the strongest returns for retirees across America","URL":"https://www.investmentcouncil.org/wp-content/uploads/2024/07/2024-AIC-Pensions-Report_final.pdf","author":[{"literal":"American Investment Council"}],"issued":{"date-parts":[["2024"]]}}}],"schema":"https://github.com/citation-style-language/schema/raw/master/csl-citation.json"} </w:instrText>
      </w:r>
      <w:r w:rsidR="00C51458">
        <w:rPr>
          <w:rFonts w:ascii="Times New Roman" w:hAnsi="Times New Roman" w:cs="Times New Roman"/>
          <w:sz w:val="24"/>
          <w:szCs w:val="24"/>
        </w:rPr>
        <w:fldChar w:fldCharType="separate"/>
      </w:r>
      <w:r w:rsidR="00C51458" w:rsidRPr="00C51458">
        <w:rPr>
          <w:rFonts w:ascii="Times New Roman" w:hAnsi="Times New Roman" w:cs="Times New Roman"/>
          <w:sz w:val="24"/>
        </w:rPr>
        <w:t>(American Investment Council, 2024)</w:t>
      </w:r>
      <w:r w:rsidR="00C51458">
        <w:rPr>
          <w:rFonts w:ascii="Times New Roman" w:hAnsi="Times New Roman" w:cs="Times New Roman"/>
          <w:sz w:val="24"/>
          <w:szCs w:val="24"/>
        </w:rPr>
        <w:fldChar w:fldCharType="end"/>
      </w:r>
      <w:r w:rsidR="00C51458">
        <w:rPr>
          <w:rFonts w:ascii="Times New Roman" w:hAnsi="Times New Roman" w:cs="Times New Roman"/>
          <w:sz w:val="24"/>
          <w:szCs w:val="24"/>
        </w:rPr>
        <w:t>.</w:t>
      </w:r>
      <w:r w:rsidR="0005122F">
        <w:rPr>
          <w:rFonts w:ascii="Times New Roman" w:hAnsi="Times New Roman" w:cs="Times New Roman"/>
          <w:sz w:val="24"/>
          <w:szCs w:val="24"/>
        </w:rPr>
        <w:t xml:space="preserve"> </w:t>
      </w:r>
      <w:r w:rsidR="000C341B">
        <w:rPr>
          <w:rFonts w:ascii="Times New Roman" w:hAnsi="Times New Roman" w:cs="Times New Roman"/>
          <w:sz w:val="24"/>
          <w:szCs w:val="24"/>
        </w:rPr>
        <w:t>P</w:t>
      </w:r>
      <w:r w:rsidR="0005122F" w:rsidRPr="0005122F">
        <w:rPr>
          <w:rFonts w:ascii="Times New Roman" w:hAnsi="Times New Roman" w:cs="Times New Roman"/>
          <w:sz w:val="24"/>
          <w:szCs w:val="24"/>
        </w:rPr>
        <w:t>ension funds possess long-term liability profiles</w:t>
      </w:r>
      <w:r w:rsidR="0005122F">
        <w:rPr>
          <w:rFonts w:ascii="Times New Roman" w:hAnsi="Times New Roman" w:cs="Times New Roman"/>
          <w:sz w:val="24"/>
          <w:szCs w:val="24"/>
        </w:rPr>
        <w:t xml:space="preserve">, </w:t>
      </w:r>
      <w:r w:rsidR="0005122F" w:rsidRPr="0005122F">
        <w:rPr>
          <w:rFonts w:ascii="Times New Roman" w:hAnsi="Times New Roman" w:cs="Times New Roman"/>
          <w:sz w:val="24"/>
          <w:szCs w:val="24"/>
        </w:rPr>
        <w:t xml:space="preserve">often spanning several </w:t>
      </w:r>
      <w:r w:rsidR="0005122F">
        <w:rPr>
          <w:rFonts w:ascii="Times New Roman" w:hAnsi="Times New Roman" w:cs="Times New Roman"/>
          <w:sz w:val="24"/>
          <w:szCs w:val="24"/>
        </w:rPr>
        <w:t xml:space="preserve">years, </w:t>
      </w:r>
      <w:r w:rsidR="000C341B">
        <w:rPr>
          <w:rFonts w:ascii="Times New Roman" w:hAnsi="Times New Roman" w:cs="Times New Roman"/>
          <w:sz w:val="24"/>
          <w:szCs w:val="24"/>
        </w:rPr>
        <w:t xml:space="preserve">and </w:t>
      </w:r>
      <w:r w:rsidR="0005122F" w:rsidRPr="0005122F">
        <w:rPr>
          <w:rFonts w:ascii="Times New Roman" w:hAnsi="Times New Roman" w:cs="Times New Roman"/>
          <w:sz w:val="24"/>
          <w:szCs w:val="24"/>
        </w:rPr>
        <w:t>they are uniquely positioned to tolerate this illiquidity.</w:t>
      </w:r>
      <w:r w:rsidR="0005122F">
        <w:rPr>
          <w:rFonts w:ascii="Times New Roman" w:hAnsi="Times New Roman" w:cs="Times New Roman"/>
          <w:sz w:val="24"/>
          <w:szCs w:val="24"/>
        </w:rPr>
        <w:t xml:space="preserve"> </w:t>
      </w:r>
      <w:r w:rsidR="000C0B0A" w:rsidRPr="000C0B0A">
        <w:rPr>
          <w:rFonts w:ascii="Times New Roman" w:hAnsi="Times New Roman" w:cs="Times New Roman"/>
          <w:sz w:val="24"/>
          <w:szCs w:val="24"/>
        </w:rPr>
        <w:t xml:space="preserve">Historical data </w:t>
      </w:r>
      <w:r w:rsidR="000C0B0A">
        <w:rPr>
          <w:rFonts w:ascii="Times New Roman" w:hAnsi="Times New Roman" w:cs="Times New Roman"/>
          <w:sz w:val="24"/>
          <w:szCs w:val="24"/>
        </w:rPr>
        <w:t>indicate</w:t>
      </w:r>
      <w:r w:rsidR="000C0B0A" w:rsidRPr="000C0B0A">
        <w:rPr>
          <w:rFonts w:ascii="Times New Roman" w:hAnsi="Times New Roman" w:cs="Times New Roman"/>
          <w:sz w:val="24"/>
          <w:szCs w:val="24"/>
        </w:rPr>
        <w:t xml:space="preserve"> that private equity has</w:t>
      </w:r>
      <w:r w:rsidR="000C0B0A">
        <w:rPr>
          <w:rFonts w:ascii="Times New Roman" w:hAnsi="Times New Roman" w:cs="Times New Roman"/>
          <w:sz w:val="24"/>
          <w:szCs w:val="24"/>
        </w:rPr>
        <w:t xml:space="preserve"> outperformed public markets over certain horizons</w:t>
      </w:r>
      <w:r w:rsidR="000C0B0A" w:rsidRPr="000C0B0A">
        <w:rPr>
          <w:rFonts w:ascii="Times New Roman" w:hAnsi="Times New Roman" w:cs="Times New Roman"/>
          <w:sz w:val="24"/>
          <w:szCs w:val="24"/>
        </w:rPr>
        <w:t xml:space="preserve">. The American Investment Council reported a median 10-year </w:t>
      </w:r>
      <w:r w:rsidR="000C0B0A">
        <w:rPr>
          <w:rFonts w:ascii="Times New Roman" w:hAnsi="Times New Roman" w:cs="Times New Roman"/>
          <w:sz w:val="24"/>
          <w:szCs w:val="24"/>
        </w:rPr>
        <w:t>annualised return of 13.5% for private equity in analysed</w:t>
      </w:r>
      <w:r w:rsidR="000C0B0A" w:rsidRPr="000C0B0A">
        <w:rPr>
          <w:rFonts w:ascii="Times New Roman" w:hAnsi="Times New Roman" w:cs="Times New Roman"/>
          <w:sz w:val="24"/>
          <w:szCs w:val="24"/>
        </w:rPr>
        <w:t xml:space="preserve"> public pension funds, surpassing other asset classes</w:t>
      </w:r>
      <w:r w:rsidR="000C0B0A">
        <w:rPr>
          <w:rFonts w:ascii="Times New Roman" w:hAnsi="Times New Roman" w:cs="Times New Roman"/>
          <w:sz w:val="24"/>
          <w:szCs w:val="24"/>
        </w:rPr>
        <w:t xml:space="preserve"> (</w:t>
      </w:r>
      <w:r w:rsidR="000C0B0A" w:rsidRPr="000C0B0A">
        <w:rPr>
          <w:rFonts w:ascii="Times New Roman" w:hAnsi="Times New Roman" w:cs="Times New Roman"/>
          <w:sz w:val="24"/>
          <w:szCs w:val="24"/>
        </w:rPr>
        <w:t>American Investment Council, 2025).</w:t>
      </w:r>
      <w:r w:rsidR="000C0B0A">
        <w:rPr>
          <w:rFonts w:ascii="Times New Roman" w:hAnsi="Times New Roman" w:cs="Times New Roman"/>
          <w:sz w:val="24"/>
          <w:szCs w:val="24"/>
        </w:rPr>
        <w:t xml:space="preserve"> The success of this strategy is best demonstrated by large Canadian pension funds. </w:t>
      </w:r>
      <w:r w:rsidR="00A26E18" w:rsidRPr="00A26E18">
        <w:rPr>
          <w:rFonts w:ascii="Times New Roman" w:hAnsi="Times New Roman" w:cs="Times New Roman"/>
          <w:sz w:val="24"/>
          <w:szCs w:val="24"/>
        </w:rPr>
        <w:t>The Ontario Teachers' Pension Plan (OTPP) and the Canada Pension Plan Investment Board (CPPIB) manage massive alternative investment portfolios in-house rather than paying external managers. By directly owning infrastructure like toll roads and airports, they successfully capture the full illiquidity premium (Rundell, 2017). Consequently, the OTPP generated an 8.2% annualised return net of fees over a decade, significantly outperforming US counterparts like the New York City Employee Retirement System, which relies more heavily on traditional assets and expensive external asset managers (</w:t>
      </w:r>
      <w:r w:rsidR="00E469B0">
        <w:rPr>
          <w:rFonts w:ascii="Times New Roman" w:hAnsi="Times New Roman" w:cs="Times New Roman"/>
          <w:sz w:val="24"/>
          <w:szCs w:val="24"/>
        </w:rPr>
        <w:t>Childs</w:t>
      </w:r>
      <w:r w:rsidR="00A26E18" w:rsidRPr="00A26E18">
        <w:rPr>
          <w:rFonts w:ascii="Times New Roman" w:hAnsi="Times New Roman" w:cs="Times New Roman"/>
          <w:sz w:val="24"/>
          <w:szCs w:val="24"/>
        </w:rPr>
        <w:t xml:space="preserve"> and Authers, 2016).</w:t>
      </w:r>
      <w:r w:rsidR="00330223" w:rsidRPr="00A26E18">
        <w:rPr>
          <w:rFonts w:ascii="Times New Roman" w:hAnsi="Times New Roman" w:cs="Times New Roman"/>
          <w:sz w:val="24"/>
          <w:szCs w:val="24"/>
        </w:rPr>
        <w:t xml:space="preserve"> </w:t>
      </w:r>
      <w:r w:rsidR="004C08F0">
        <w:rPr>
          <w:rFonts w:ascii="Times New Roman" w:hAnsi="Times New Roman" w:cs="Times New Roman"/>
          <w:sz w:val="24"/>
          <w:szCs w:val="24"/>
        </w:rPr>
        <w:t>Overall</w:t>
      </w:r>
      <w:r w:rsidR="004C08F0" w:rsidRPr="004C08F0">
        <w:rPr>
          <w:rFonts w:ascii="Times New Roman" w:hAnsi="Times New Roman" w:cs="Times New Roman"/>
          <w:sz w:val="24"/>
          <w:szCs w:val="24"/>
        </w:rPr>
        <w:t xml:space="preserve">, the strategic integration of alternative assets </w:t>
      </w:r>
      <w:r w:rsidR="004C08F0">
        <w:rPr>
          <w:rFonts w:ascii="Times New Roman" w:hAnsi="Times New Roman" w:cs="Times New Roman"/>
          <w:sz w:val="24"/>
          <w:szCs w:val="24"/>
        </w:rPr>
        <w:t>allows</w:t>
      </w:r>
      <w:r w:rsidR="004C08F0" w:rsidRPr="004C08F0">
        <w:rPr>
          <w:rFonts w:ascii="Times New Roman" w:hAnsi="Times New Roman" w:cs="Times New Roman"/>
          <w:sz w:val="24"/>
          <w:szCs w:val="24"/>
        </w:rPr>
        <w:t xml:space="preserve"> pension funds to mitigate market volatility, align their long-term liabilities with reliable cash flows, and capture the illiquidity premium to achieve superior, industry-leading returns.</w:t>
      </w:r>
    </w:p>
    <w:p w14:paraId="7D9C971F" w14:textId="77777777" w:rsidR="004F2846" w:rsidRDefault="004F2846" w:rsidP="00E27EF2">
      <w:pPr>
        <w:spacing w:line="240" w:lineRule="auto"/>
        <w:jc w:val="both"/>
        <w:rPr>
          <w:rFonts w:ascii="Times New Roman" w:hAnsi="Times New Roman" w:cs="Times New Roman"/>
          <w:sz w:val="24"/>
          <w:szCs w:val="24"/>
        </w:rPr>
      </w:pPr>
    </w:p>
    <w:p w14:paraId="721476C1" w14:textId="742C49C4" w:rsidR="004F2846" w:rsidRDefault="004F2846" w:rsidP="00E27EF2">
      <w:pPr>
        <w:spacing w:line="240" w:lineRule="auto"/>
        <w:jc w:val="both"/>
        <w:rPr>
          <w:rFonts w:ascii="Times New Roman" w:hAnsi="Times New Roman" w:cs="Times New Roman"/>
          <w:sz w:val="24"/>
          <w:szCs w:val="24"/>
        </w:rPr>
      </w:pPr>
      <w:r w:rsidRPr="004F2846">
        <w:rPr>
          <w:rFonts w:ascii="Times New Roman" w:hAnsi="Times New Roman" w:cs="Times New Roman"/>
          <w:sz w:val="24"/>
          <w:szCs w:val="24"/>
        </w:rPr>
        <w:t xml:space="preserve">Despite these theoretical benefits, the shift towards alternative assets introduces </w:t>
      </w:r>
      <w:r>
        <w:rPr>
          <w:rFonts w:ascii="Times New Roman" w:hAnsi="Times New Roman" w:cs="Times New Roman"/>
          <w:sz w:val="24"/>
          <w:szCs w:val="24"/>
        </w:rPr>
        <w:t>significant</w:t>
      </w:r>
      <w:r w:rsidRPr="004F2846">
        <w:rPr>
          <w:rFonts w:ascii="Times New Roman" w:hAnsi="Times New Roman" w:cs="Times New Roman"/>
          <w:sz w:val="24"/>
          <w:szCs w:val="24"/>
        </w:rPr>
        <w:t xml:space="preserve"> hidden risks, primarily stemming from illiquidity and opaque valuation practices. Unlike public stocks, which are priced daily by an open market, alternative assets are valued infrequently</w:t>
      </w:r>
      <w:r w:rsidR="009F7E0D">
        <w:rPr>
          <w:rFonts w:ascii="Times New Roman" w:hAnsi="Times New Roman" w:cs="Times New Roman"/>
          <w:sz w:val="24"/>
          <w:szCs w:val="24"/>
        </w:rPr>
        <w:t xml:space="preserve">, </w:t>
      </w:r>
      <w:r w:rsidRPr="004F2846">
        <w:rPr>
          <w:rFonts w:ascii="Times New Roman" w:hAnsi="Times New Roman" w:cs="Times New Roman"/>
          <w:sz w:val="24"/>
          <w:szCs w:val="24"/>
        </w:rPr>
        <w:t>usually quarterly</w:t>
      </w:r>
      <w:r w:rsidR="009F7E0D">
        <w:rPr>
          <w:rFonts w:ascii="Times New Roman" w:hAnsi="Times New Roman" w:cs="Times New Roman"/>
          <w:sz w:val="24"/>
          <w:szCs w:val="24"/>
        </w:rPr>
        <w:t xml:space="preserve">, by </w:t>
      </w:r>
      <w:r w:rsidRPr="004F2846">
        <w:rPr>
          <w:rFonts w:ascii="Times New Roman" w:hAnsi="Times New Roman" w:cs="Times New Roman"/>
          <w:sz w:val="24"/>
          <w:szCs w:val="24"/>
        </w:rPr>
        <w:t>using subjective appraisal methods</w:t>
      </w:r>
      <w:r w:rsidR="009F7E0D">
        <w:rPr>
          <w:rFonts w:ascii="Times New Roman" w:hAnsi="Times New Roman" w:cs="Times New Roman"/>
          <w:sz w:val="24"/>
          <w:szCs w:val="24"/>
        </w:rPr>
        <w:t xml:space="preserve"> </w:t>
      </w:r>
      <w:r w:rsidR="009F7E0D">
        <w:rPr>
          <w:rFonts w:ascii="Times New Roman" w:hAnsi="Times New Roman" w:cs="Times New Roman"/>
          <w:sz w:val="24"/>
          <w:szCs w:val="24"/>
        </w:rPr>
        <w:fldChar w:fldCharType="begin"/>
      </w:r>
      <w:r w:rsidR="009F7E0D">
        <w:rPr>
          <w:rFonts w:ascii="Times New Roman" w:hAnsi="Times New Roman" w:cs="Times New Roman"/>
          <w:sz w:val="24"/>
          <w:szCs w:val="24"/>
        </w:rPr>
        <w:instrText xml:space="preserve"> ADDIN ZOTERO_ITEM CSL_CITATION {"citationID":"LLDdjbuo","properties":{"formattedCitation":"(nuveen, 2025)","plainCitation":"(nuveen, 2025)","noteIndex":0},"citationItems":[{"id":57,"uris":["http://zotero.org/users/local/R5xVNRvV/items/AECPM2IK"],"itemData":{"id":57,"type":"webpage","abstract":"Investing in listed infrastructure may benefit institutional investors in several ways.","language":"en","title":"Global Infrastructure: Listed vs. private infrastructure: Why not both?","title-short":"Global Infrastructure","URL":"https://documents.nuveen.com/Documents/Global/Default.aspx?uniqueid=b83ae20f-5425-4dc0-9679-904bc1ebc81c","author":[{"literal":"nuveen"}],"accessed":{"date-parts":[["2026",3,15]]},"issued":{"date-parts":[["2025"]]}}}],"schema":"https://github.com/citation-style-language/schema/raw/master/csl-citation.json"} </w:instrText>
      </w:r>
      <w:r w:rsidR="009F7E0D">
        <w:rPr>
          <w:rFonts w:ascii="Times New Roman" w:hAnsi="Times New Roman" w:cs="Times New Roman"/>
          <w:sz w:val="24"/>
          <w:szCs w:val="24"/>
        </w:rPr>
        <w:fldChar w:fldCharType="separate"/>
      </w:r>
      <w:r w:rsidR="009F7E0D" w:rsidRPr="009F7E0D">
        <w:rPr>
          <w:rFonts w:ascii="Times New Roman" w:hAnsi="Times New Roman" w:cs="Times New Roman"/>
          <w:sz w:val="24"/>
        </w:rPr>
        <w:t>(nuveen, 2025)</w:t>
      </w:r>
      <w:r w:rsidR="009F7E0D">
        <w:rPr>
          <w:rFonts w:ascii="Times New Roman" w:hAnsi="Times New Roman" w:cs="Times New Roman"/>
          <w:sz w:val="24"/>
          <w:szCs w:val="24"/>
        </w:rPr>
        <w:fldChar w:fldCharType="end"/>
      </w:r>
      <w:r w:rsidRPr="004F2846">
        <w:rPr>
          <w:rFonts w:ascii="Times New Roman" w:hAnsi="Times New Roman" w:cs="Times New Roman"/>
          <w:sz w:val="24"/>
          <w:szCs w:val="24"/>
        </w:rPr>
        <w:t>.</w:t>
      </w:r>
      <w:r w:rsidR="009F7E0D">
        <w:rPr>
          <w:rFonts w:ascii="Times New Roman" w:hAnsi="Times New Roman" w:cs="Times New Roman"/>
          <w:sz w:val="24"/>
          <w:szCs w:val="24"/>
        </w:rPr>
        <w:t xml:space="preserve"> However, t</w:t>
      </w:r>
      <w:r w:rsidR="009F7E0D" w:rsidRPr="009F7E0D">
        <w:rPr>
          <w:rFonts w:ascii="Times New Roman" w:hAnsi="Times New Roman" w:cs="Times New Roman"/>
          <w:sz w:val="24"/>
          <w:szCs w:val="24"/>
        </w:rPr>
        <w:t>his creates a dangerous phenomenon known in academic literature as "stale pricing" or "return smoothing"</w:t>
      </w:r>
      <w:r w:rsidR="009F7E0D">
        <w:rPr>
          <w:rFonts w:ascii="Times New Roman" w:hAnsi="Times New Roman" w:cs="Times New Roman"/>
          <w:sz w:val="24"/>
          <w:szCs w:val="24"/>
        </w:rPr>
        <w:t xml:space="preserve"> </w:t>
      </w:r>
      <w:r w:rsidR="009F7E0D">
        <w:rPr>
          <w:rFonts w:ascii="Times New Roman" w:hAnsi="Times New Roman" w:cs="Times New Roman"/>
          <w:sz w:val="24"/>
          <w:szCs w:val="24"/>
        </w:rPr>
        <w:fldChar w:fldCharType="begin"/>
      </w:r>
      <w:r w:rsidR="009F7E0D">
        <w:rPr>
          <w:rFonts w:ascii="Times New Roman" w:hAnsi="Times New Roman" w:cs="Times New Roman"/>
          <w:sz w:val="24"/>
          <w:szCs w:val="24"/>
        </w:rPr>
        <w:instrText xml:space="preserve"> ADDIN ZOTERO_ITEM CSL_CITATION {"citationID":"T6KLna2j","properties":{"formattedCitation":"(Swedroe, 2025)","plainCitation":"(Swedroe, 2025)","noteIndex":0},"citationItems":[{"id":59,"uris":["http://zotero.org/users/local/R5xVNRvV/items/QWXC5TNB"],"itemData":{"id":59,"type":"webpage","abstract":"Discover how private equity uses \"volatility laundering\" to smooth returns, understate risk, and create misleadingly stable performance charts.","container-title":"Morningstar, Inc.","language":"en","note":"section: Alternative Investments","title":"How Private Equity Funds Understate the Risk in Their Investments","URL":"https://www.morningstar.com/alternative-investments/how-private-equity-funds-understate-risk-their-investments","author":[{"family":"Swedroe","given":"L"}],"accessed":{"date-parts":[["2026",3,15]]},"issued":{"date-parts":[["2025",8,28]]}}}],"schema":"https://github.com/citation-style-language/schema/raw/master/csl-citation.json"} </w:instrText>
      </w:r>
      <w:r w:rsidR="009F7E0D">
        <w:rPr>
          <w:rFonts w:ascii="Times New Roman" w:hAnsi="Times New Roman" w:cs="Times New Roman"/>
          <w:sz w:val="24"/>
          <w:szCs w:val="24"/>
        </w:rPr>
        <w:fldChar w:fldCharType="separate"/>
      </w:r>
      <w:r w:rsidR="009F7E0D" w:rsidRPr="009F7E0D">
        <w:rPr>
          <w:rFonts w:ascii="Times New Roman" w:hAnsi="Times New Roman" w:cs="Times New Roman"/>
          <w:sz w:val="24"/>
        </w:rPr>
        <w:t>(Swedroe, 2025)</w:t>
      </w:r>
      <w:r w:rsidR="009F7E0D">
        <w:rPr>
          <w:rFonts w:ascii="Times New Roman" w:hAnsi="Times New Roman" w:cs="Times New Roman"/>
          <w:sz w:val="24"/>
          <w:szCs w:val="24"/>
        </w:rPr>
        <w:fldChar w:fldCharType="end"/>
      </w:r>
      <w:r w:rsidR="009F7E0D">
        <w:rPr>
          <w:rFonts w:ascii="Times New Roman" w:hAnsi="Times New Roman" w:cs="Times New Roman"/>
          <w:sz w:val="24"/>
          <w:szCs w:val="24"/>
        </w:rPr>
        <w:t xml:space="preserve">. </w:t>
      </w:r>
      <w:r w:rsidR="009F7E0D" w:rsidRPr="009F7E0D">
        <w:rPr>
          <w:rFonts w:ascii="Times New Roman" w:hAnsi="Times New Roman" w:cs="Times New Roman"/>
          <w:sz w:val="24"/>
          <w:szCs w:val="24"/>
        </w:rPr>
        <w:t>Research indicates that this smoothing effect artificially suppresses the reported volatility of private assets, making them appear</w:t>
      </w:r>
      <w:r w:rsidR="009F7E0D">
        <w:rPr>
          <w:rFonts w:ascii="Times New Roman" w:hAnsi="Times New Roman" w:cs="Times New Roman"/>
          <w:sz w:val="24"/>
          <w:szCs w:val="24"/>
        </w:rPr>
        <w:t xml:space="preserve"> safer and less correlated with</w:t>
      </w:r>
      <w:r w:rsidR="009F7E0D" w:rsidRPr="009F7E0D">
        <w:rPr>
          <w:rFonts w:ascii="Times New Roman" w:hAnsi="Times New Roman" w:cs="Times New Roman"/>
          <w:sz w:val="24"/>
          <w:szCs w:val="24"/>
        </w:rPr>
        <w:t xml:space="preserve"> public markets than they actually are</w:t>
      </w:r>
      <w:r w:rsidR="009F7E0D">
        <w:rPr>
          <w:rFonts w:ascii="Times New Roman" w:hAnsi="Times New Roman" w:cs="Times New Roman"/>
          <w:sz w:val="24"/>
          <w:szCs w:val="24"/>
        </w:rPr>
        <w:t xml:space="preserve"> </w:t>
      </w:r>
      <w:r w:rsidR="009F7E0D">
        <w:rPr>
          <w:rFonts w:ascii="Times New Roman" w:hAnsi="Times New Roman" w:cs="Times New Roman"/>
          <w:sz w:val="24"/>
          <w:szCs w:val="24"/>
        </w:rPr>
        <w:fldChar w:fldCharType="begin"/>
      </w:r>
      <w:r w:rsidR="009F7E0D">
        <w:rPr>
          <w:rFonts w:ascii="Times New Roman" w:hAnsi="Times New Roman" w:cs="Times New Roman"/>
          <w:sz w:val="24"/>
          <w:szCs w:val="24"/>
        </w:rPr>
        <w:instrText xml:space="preserve"> ADDIN ZOTERO_ITEM CSL_CITATION {"citationID":"a2BcSWGi","properties":{"formattedCitation":"(nuveen, 2025)","plainCitation":"(nuveen, 2025)","noteIndex":0},"citationItems":[{"id":57,"uris":["http://zotero.org/users/local/R5xVNRvV/items/AECPM2IK"],"itemData":{"id":57,"type":"webpage","abstract":"Investing in listed infrastructure may benefit institutional investors in several ways.","language":"en","title":"Global Infrastructure: Listed vs. private infrastructure: Why not both?","title-short":"Global Infrastructure","URL":"https://documents.nuveen.com/Documents/Global/Default.aspx?uniqueid=b83ae20f-5425-4dc0-9679-904bc1ebc81c","author":[{"literal":"nuveen"}],"accessed":{"date-parts":[["2026",3,15]]},"issued":{"date-parts":[["2025"]]}}}],"schema":"https://github.com/citation-style-language/schema/raw/master/csl-citation.json"} </w:instrText>
      </w:r>
      <w:r w:rsidR="009F7E0D">
        <w:rPr>
          <w:rFonts w:ascii="Times New Roman" w:hAnsi="Times New Roman" w:cs="Times New Roman"/>
          <w:sz w:val="24"/>
          <w:szCs w:val="24"/>
        </w:rPr>
        <w:fldChar w:fldCharType="separate"/>
      </w:r>
      <w:r w:rsidR="009F7E0D" w:rsidRPr="009F7E0D">
        <w:rPr>
          <w:rFonts w:ascii="Times New Roman" w:hAnsi="Times New Roman" w:cs="Times New Roman"/>
          <w:sz w:val="24"/>
        </w:rPr>
        <w:t>(nuveen, 2025)</w:t>
      </w:r>
      <w:r w:rsidR="009F7E0D">
        <w:rPr>
          <w:rFonts w:ascii="Times New Roman" w:hAnsi="Times New Roman" w:cs="Times New Roman"/>
          <w:sz w:val="24"/>
          <w:szCs w:val="24"/>
        </w:rPr>
        <w:fldChar w:fldCharType="end"/>
      </w:r>
      <w:r w:rsidR="009F7E0D" w:rsidRPr="009F7E0D">
        <w:rPr>
          <w:rFonts w:ascii="Times New Roman" w:hAnsi="Times New Roman" w:cs="Times New Roman"/>
          <w:sz w:val="24"/>
          <w:szCs w:val="24"/>
        </w:rPr>
        <w:t>.</w:t>
      </w:r>
      <w:r w:rsidR="009F7E0D">
        <w:rPr>
          <w:rFonts w:ascii="Times New Roman" w:hAnsi="Times New Roman" w:cs="Times New Roman"/>
          <w:sz w:val="24"/>
          <w:szCs w:val="24"/>
        </w:rPr>
        <w:t xml:space="preserve"> </w:t>
      </w:r>
      <w:r w:rsidR="000103C3">
        <w:rPr>
          <w:rFonts w:ascii="Times New Roman" w:hAnsi="Times New Roman" w:cs="Times New Roman"/>
          <w:sz w:val="24"/>
          <w:szCs w:val="24"/>
        </w:rPr>
        <w:t xml:space="preserve">Consequently, </w:t>
      </w:r>
      <w:r w:rsidR="000103C3" w:rsidRPr="000103C3">
        <w:rPr>
          <w:rFonts w:ascii="Times New Roman" w:hAnsi="Times New Roman" w:cs="Times New Roman"/>
          <w:sz w:val="24"/>
          <w:szCs w:val="24"/>
        </w:rPr>
        <w:t>the perceived diversification benefits are often a statistical illusion</w:t>
      </w:r>
      <w:r w:rsidR="000103C3">
        <w:rPr>
          <w:rFonts w:ascii="Times New Roman" w:hAnsi="Times New Roman" w:cs="Times New Roman"/>
          <w:sz w:val="24"/>
          <w:szCs w:val="24"/>
        </w:rPr>
        <w:t>, making f</w:t>
      </w:r>
      <w:r w:rsidR="000103C3" w:rsidRPr="000103C3">
        <w:rPr>
          <w:rFonts w:ascii="Times New Roman" w:hAnsi="Times New Roman" w:cs="Times New Roman"/>
          <w:sz w:val="24"/>
          <w:szCs w:val="24"/>
        </w:rPr>
        <w:t xml:space="preserve">und </w:t>
      </w:r>
      <w:r w:rsidR="000103C3" w:rsidRPr="000103C3">
        <w:rPr>
          <w:rFonts w:ascii="Times New Roman" w:hAnsi="Times New Roman" w:cs="Times New Roman"/>
          <w:sz w:val="24"/>
          <w:szCs w:val="24"/>
        </w:rPr>
        <w:lastRenderedPageBreak/>
        <w:t>managers misinterpret this risk as manager skill</w:t>
      </w:r>
      <w:r w:rsidR="000103C3">
        <w:rPr>
          <w:rFonts w:ascii="Times New Roman" w:hAnsi="Times New Roman" w:cs="Times New Roman"/>
          <w:sz w:val="24"/>
          <w:szCs w:val="24"/>
        </w:rPr>
        <w:t xml:space="preserve">, </w:t>
      </w:r>
      <w:r w:rsidR="000103C3" w:rsidRPr="000103C3">
        <w:rPr>
          <w:rFonts w:ascii="Times New Roman" w:hAnsi="Times New Roman" w:cs="Times New Roman"/>
          <w:sz w:val="24"/>
          <w:szCs w:val="24"/>
        </w:rPr>
        <w:t xml:space="preserve">when in reality, they are simply carrying hidden market risk </w:t>
      </w:r>
      <w:r w:rsidR="000103C3">
        <w:rPr>
          <w:rFonts w:ascii="Times New Roman" w:hAnsi="Times New Roman" w:cs="Times New Roman"/>
          <w:sz w:val="24"/>
          <w:szCs w:val="24"/>
        </w:rPr>
        <w:fldChar w:fldCharType="begin"/>
      </w:r>
      <w:r w:rsidR="000103C3">
        <w:rPr>
          <w:rFonts w:ascii="Times New Roman" w:hAnsi="Times New Roman" w:cs="Times New Roman"/>
          <w:sz w:val="24"/>
          <w:szCs w:val="24"/>
        </w:rPr>
        <w:instrText xml:space="preserve"> ADDIN ZOTERO_ITEM CSL_CITATION {"citationID":"UXJnlyUw","properties":{"formattedCitation":"(Swedroe, 2025)","plainCitation":"(Swedroe, 2025)","noteIndex":0},"citationItems":[{"id":59,"uris":["http://zotero.org/users/local/R5xVNRvV/items/QWXC5TNB"],"itemData":{"id":59,"type":"webpage","abstract":"Discover how private equity uses \"volatility laundering\" to smooth returns, understate risk, and create misleadingly stable performance charts.","container-title":"Morningstar, Inc.","language":"en","note":"section: Alternative Investments","title":"How Private Equity Funds Understate the Risk in Their Investments","URL":"https://www.morningstar.com/alternative-investments/how-private-equity-funds-understate-risk-their-investments","author":[{"family":"Swedroe","given":"L"}],"accessed":{"date-parts":[["2026",3,15]]},"issued":{"date-parts":[["2025",8,28]]}}}],"schema":"https://github.com/citation-style-language/schema/raw/master/csl-citation.json"} </w:instrText>
      </w:r>
      <w:r w:rsidR="000103C3">
        <w:rPr>
          <w:rFonts w:ascii="Times New Roman" w:hAnsi="Times New Roman" w:cs="Times New Roman"/>
          <w:sz w:val="24"/>
          <w:szCs w:val="24"/>
        </w:rPr>
        <w:fldChar w:fldCharType="separate"/>
      </w:r>
      <w:r w:rsidR="000103C3" w:rsidRPr="000103C3">
        <w:rPr>
          <w:rFonts w:ascii="Times New Roman" w:hAnsi="Times New Roman" w:cs="Times New Roman"/>
          <w:sz w:val="24"/>
        </w:rPr>
        <w:t>(Swedroe, 2025)</w:t>
      </w:r>
      <w:r w:rsidR="000103C3">
        <w:rPr>
          <w:rFonts w:ascii="Times New Roman" w:hAnsi="Times New Roman" w:cs="Times New Roman"/>
          <w:sz w:val="24"/>
          <w:szCs w:val="24"/>
        </w:rPr>
        <w:fldChar w:fldCharType="end"/>
      </w:r>
      <w:r w:rsidR="000103C3" w:rsidRPr="000103C3">
        <w:rPr>
          <w:rFonts w:ascii="Times New Roman" w:hAnsi="Times New Roman" w:cs="Times New Roman"/>
          <w:sz w:val="24"/>
          <w:szCs w:val="24"/>
        </w:rPr>
        <w:t>.</w:t>
      </w:r>
      <w:r w:rsidR="000103C3">
        <w:rPr>
          <w:rFonts w:ascii="Times New Roman" w:hAnsi="Times New Roman" w:cs="Times New Roman"/>
          <w:sz w:val="24"/>
          <w:szCs w:val="24"/>
        </w:rPr>
        <w:t xml:space="preserve"> </w:t>
      </w:r>
      <w:r w:rsidR="00DF5853" w:rsidRPr="00DF5853">
        <w:rPr>
          <w:rFonts w:ascii="Times New Roman" w:hAnsi="Times New Roman" w:cs="Times New Roman"/>
          <w:sz w:val="24"/>
          <w:szCs w:val="24"/>
        </w:rPr>
        <w:t>Moreover, the illiquid nature of these assets creates a severe "denominator effect" during market downturns</w:t>
      </w:r>
      <w:r w:rsidR="00DF5853">
        <w:rPr>
          <w:rFonts w:ascii="Times New Roman" w:hAnsi="Times New Roman" w:cs="Times New Roman"/>
          <w:sz w:val="24"/>
          <w:szCs w:val="24"/>
        </w:rPr>
        <w:t xml:space="preserve"> </w:t>
      </w:r>
      <w:r w:rsidR="00DF5853">
        <w:rPr>
          <w:rFonts w:ascii="Times New Roman" w:hAnsi="Times New Roman" w:cs="Times New Roman"/>
          <w:sz w:val="24"/>
          <w:szCs w:val="24"/>
        </w:rPr>
        <w:fldChar w:fldCharType="begin"/>
      </w:r>
      <w:r w:rsidR="00DF5853">
        <w:rPr>
          <w:rFonts w:ascii="Times New Roman" w:hAnsi="Times New Roman" w:cs="Times New Roman"/>
          <w:sz w:val="24"/>
          <w:szCs w:val="24"/>
        </w:rPr>
        <w:instrText xml:space="preserve"> ADDIN ZOTERO_ITEM CSL_CITATION {"citationID":"wvQjZSy9","properties":{"formattedCitation":"(Cherry Bekaert, 2025)","plainCitation":"(Cherry Bekaert, 2025)","noteIndex":0},"citationItems":[{"id":61,"uris":["http://zotero.org/users/local/R5xVNRvV/items/ATX6D3ZC"],"itemData":{"id":61,"type":"webpage","abstract":"Explore the latest trends in alternative investments and the opportunities emerging from the growth of the alternative assets industry in our 2025 report.","language":"en","title":"U.S. Alternative Investment Industry Report 2025","URL":"https://www.cbh.com/insights/reports/u.s.-alternative-investment-industry-report-2025","author":[{"literal":"Cherry Bekaert"}],"accessed":{"date-parts":[["2026",3,15]]},"issued":{"date-parts":[["2025",10,27]]}}}],"schema":"https://github.com/citation-style-language/schema/raw/master/csl-citation.json"} </w:instrText>
      </w:r>
      <w:r w:rsidR="00DF5853">
        <w:rPr>
          <w:rFonts w:ascii="Times New Roman" w:hAnsi="Times New Roman" w:cs="Times New Roman"/>
          <w:sz w:val="24"/>
          <w:szCs w:val="24"/>
        </w:rPr>
        <w:fldChar w:fldCharType="separate"/>
      </w:r>
      <w:r w:rsidR="00DF5853" w:rsidRPr="00DF5853">
        <w:rPr>
          <w:rFonts w:ascii="Times New Roman" w:hAnsi="Times New Roman" w:cs="Times New Roman"/>
          <w:sz w:val="24"/>
        </w:rPr>
        <w:t>(Cherry Bekaert, 2025)</w:t>
      </w:r>
      <w:r w:rsidR="00DF5853">
        <w:rPr>
          <w:rFonts w:ascii="Times New Roman" w:hAnsi="Times New Roman" w:cs="Times New Roman"/>
          <w:sz w:val="24"/>
          <w:szCs w:val="24"/>
        </w:rPr>
        <w:fldChar w:fldCharType="end"/>
      </w:r>
      <w:r w:rsidR="00DF5853" w:rsidRPr="00DF5853">
        <w:rPr>
          <w:rFonts w:ascii="Times New Roman" w:hAnsi="Times New Roman" w:cs="Times New Roman"/>
          <w:sz w:val="24"/>
          <w:szCs w:val="24"/>
        </w:rPr>
        <w:t>.</w:t>
      </w:r>
      <w:r w:rsidR="00DF5853">
        <w:rPr>
          <w:rFonts w:ascii="Times New Roman" w:hAnsi="Times New Roman" w:cs="Times New Roman"/>
          <w:sz w:val="24"/>
          <w:szCs w:val="24"/>
        </w:rPr>
        <w:t xml:space="preserve"> </w:t>
      </w:r>
      <w:r w:rsidR="00DF5853" w:rsidRPr="00DF5853">
        <w:rPr>
          <w:rFonts w:ascii="Times New Roman" w:hAnsi="Times New Roman" w:cs="Times New Roman"/>
          <w:sz w:val="24"/>
          <w:szCs w:val="24"/>
        </w:rPr>
        <w:t>When public equity markets experience a sharp correction, the total value of the pension fund shrinks</w:t>
      </w:r>
      <w:r w:rsidR="00DF5853">
        <w:rPr>
          <w:rFonts w:ascii="Times New Roman" w:hAnsi="Times New Roman" w:cs="Times New Roman"/>
          <w:sz w:val="24"/>
          <w:szCs w:val="24"/>
        </w:rPr>
        <w:t>, and because private assets are not marked</w:t>
      </w:r>
      <w:r w:rsidR="00DF5853" w:rsidRPr="00DF5853">
        <w:rPr>
          <w:rFonts w:ascii="Times New Roman" w:hAnsi="Times New Roman" w:cs="Times New Roman"/>
          <w:sz w:val="24"/>
          <w:szCs w:val="24"/>
        </w:rPr>
        <w:t xml:space="preserve"> immediately, their percentage share of the portfolio artificially spikes above policy limits.</w:t>
      </w:r>
      <w:r w:rsidR="00DF5853">
        <w:rPr>
          <w:rFonts w:ascii="Times New Roman" w:hAnsi="Times New Roman" w:cs="Times New Roman"/>
          <w:sz w:val="24"/>
          <w:szCs w:val="24"/>
        </w:rPr>
        <w:t xml:space="preserve"> </w:t>
      </w:r>
      <w:r w:rsidR="00DF5853" w:rsidRPr="00DF5853">
        <w:rPr>
          <w:rFonts w:ascii="Times New Roman" w:hAnsi="Times New Roman" w:cs="Times New Roman"/>
          <w:sz w:val="24"/>
          <w:szCs w:val="24"/>
        </w:rPr>
        <w:t>This systemic risk materialised during the 2023-2024 macroeconomic tightening cycle, when a lack of private equity exits created a severe liquidity crunch that trapped pension capital and forced funds to either sell public equities at market bottoms, halt new investments entirely, or scale back their alternative allocations</w:t>
      </w:r>
      <w:r w:rsidR="00DF5853">
        <w:rPr>
          <w:rFonts w:ascii="Times New Roman" w:hAnsi="Times New Roman" w:cs="Times New Roman"/>
          <w:sz w:val="24"/>
          <w:szCs w:val="24"/>
        </w:rPr>
        <w:t xml:space="preserve"> </w:t>
      </w:r>
      <w:r w:rsidR="00DF5853">
        <w:rPr>
          <w:rFonts w:ascii="Times New Roman" w:hAnsi="Times New Roman" w:cs="Times New Roman"/>
          <w:sz w:val="24"/>
          <w:szCs w:val="24"/>
        </w:rPr>
        <w:fldChar w:fldCharType="begin"/>
      </w:r>
      <w:r w:rsidR="00DF5853">
        <w:rPr>
          <w:rFonts w:ascii="Times New Roman" w:hAnsi="Times New Roman" w:cs="Times New Roman"/>
          <w:sz w:val="24"/>
          <w:szCs w:val="24"/>
        </w:rPr>
        <w:instrText xml:space="preserve"> ADDIN ZOTERO_ITEM CSL_CITATION {"citationID":"cPHR1gEs","properties":{"formattedCitation":"(Appelbaum, E, 2026)","plainCitation":"(Appelbaum, E, 2026)","noteIndex":0},"citationItems":[{"id":63,"uris":["http://zotero.org/users/local/R5xVNRvV/items/X5G7ZAQV"],"itemData":{"id":63,"type":"post-weblog","abstract":"Private equity lags the stock market as weak returns, stalled exits, and growing zombie funds fuel a deepening liquidity crunch.","container-title":"CEPR","language":"en-US","title":"Private Equity: In the Doldrums and Out of Favor with Some Institutional Investors","title-short":"Private Equity","URL":"https://cepr.net/publications/private-equity-in-the-doldrums-and-out-of-favor/","author":[{"literal":"Appelbaum, E"}],"accessed":{"date-parts":[["2026",3,15]]},"issued":{"date-parts":[["2026",1,7]]}}}],"schema":"https://github.com/citation-style-language/schema/raw/master/csl-citation.json"} </w:instrText>
      </w:r>
      <w:r w:rsidR="00DF5853">
        <w:rPr>
          <w:rFonts w:ascii="Times New Roman" w:hAnsi="Times New Roman" w:cs="Times New Roman"/>
          <w:sz w:val="24"/>
          <w:szCs w:val="24"/>
        </w:rPr>
        <w:fldChar w:fldCharType="separate"/>
      </w:r>
      <w:r w:rsidR="00DF5853" w:rsidRPr="00DF5853">
        <w:rPr>
          <w:rFonts w:ascii="Times New Roman" w:hAnsi="Times New Roman" w:cs="Times New Roman"/>
          <w:sz w:val="24"/>
        </w:rPr>
        <w:t>(Appelbaum,</w:t>
      </w:r>
      <w:r w:rsidR="00DF5853">
        <w:rPr>
          <w:rFonts w:ascii="Times New Roman" w:hAnsi="Times New Roman" w:cs="Times New Roman"/>
          <w:sz w:val="24"/>
        </w:rPr>
        <w:t xml:space="preserve"> </w:t>
      </w:r>
      <w:r w:rsidR="00DF5853" w:rsidRPr="00DF5853">
        <w:rPr>
          <w:rFonts w:ascii="Times New Roman" w:hAnsi="Times New Roman" w:cs="Times New Roman"/>
          <w:sz w:val="24"/>
        </w:rPr>
        <w:t>2026)</w:t>
      </w:r>
      <w:r w:rsidR="00DF5853">
        <w:rPr>
          <w:rFonts w:ascii="Times New Roman" w:hAnsi="Times New Roman" w:cs="Times New Roman"/>
          <w:sz w:val="24"/>
          <w:szCs w:val="24"/>
        </w:rPr>
        <w:fldChar w:fldCharType="end"/>
      </w:r>
      <w:r w:rsidR="00DF5853">
        <w:rPr>
          <w:rFonts w:ascii="Times New Roman" w:hAnsi="Times New Roman" w:cs="Times New Roman"/>
          <w:sz w:val="24"/>
          <w:szCs w:val="24"/>
        </w:rPr>
        <w:t xml:space="preserve">. </w:t>
      </w:r>
      <w:r w:rsidR="00D256EF" w:rsidRPr="00D256EF">
        <w:rPr>
          <w:rFonts w:ascii="Times New Roman" w:hAnsi="Times New Roman" w:cs="Times New Roman"/>
          <w:sz w:val="24"/>
          <w:szCs w:val="24"/>
        </w:rPr>
        <w:t>Additionally, the high fees associated with external alternative managers heavily erode net performance. Complex fee structures, typically involving a 2% management fee and a 20% performance fee (carried interest), drain billions from pension schemes</w:t>
      </w:r>
      <w:r w:rsidR="000C341B">
        <w:rPr>
          <w:rFonts w:ascii="Times New Roman" w:hAnsi="Times New Roman" w:cs="Times New Roman"/>
          <w:sz w:val="24"/>
          <w:szCs w:val="24"/>
        </w:rPr>
        <w:t>.</w:t>
      </w:r>
      <w:r w:rsidR="00D256EF" w:rsidRPr="00D256EF">
        <w:rPr>
          <w:rFonts w:ascii="Times New Roman" w:hAnsi="Times New Roman" w:cs="Times New Roman"/>
          <w:sz w:val="24"/>
          <w:szCs w:val="24"/>
        </w:rPr>
        <w:t xml:space="preserve"> When these costs are properly accounted for, the outperformance of alternative assets often vanishes. </w:t>
      </w:r>
      <w:r w:rsidR="000C341B">
        <w:rPr>
          <w:rFonts w:ascii="Times New Roman" w:hAnsi="Times New Roman" w:cs="Times New Roman"/>
          <w:sz w:val="24"/>
          <w:szCs w:val="24"/>
        </w:rPr>
        <w:t xml:space="preserve">After </w:t>
      </w:r>
      <w:r w:rsidR="00D256EF" w:rsidRPr="00D256EF">
        <w:rPr>
          <w:rFonts w:ascii="Times New Roman" w:hAnsi="Times New Roman" w:cs="Times New Roman"/>
          <w:sz w:val="24"/>
          <w:szCs w:val="24"/>
        </w:rPr>
        <w:t xml:space="preserve">2008, the heavy inclusion of hedge funds and </w:t>
      </w:r>
      <w:r w:rsidR="00D256EF">
        <w:rPr>
          <w:rFonts w:ascii="Times New Roman" w:hAnsi="Times New Roman" w:cs="Times New Roman"/>
          <w:sz w:val="24"/>
          <w:szCs w:val="24"/>
        </w:rPr>
        <w:t>other alternatives has reduced after-fee returns for many US public plans relative</w:t>
      </w:r>
      <w:r w:rsidR="00D256EF" w:rsidRPr="00D256EF">
        <w:rPr>
          <w:rFonts w:ascii="Times New Roman" w:hAnsi="Times New Roman" w:cs="Times New Roman"/>
          <w:sz w:val="24"/>
          <w:szCs w:val="24"/>
        </w:rPr>
        <w:t xml:space="preserve"> to a simple, low-cost 60/40 index strategy</w:t>
      </w:r>
      <w:r w:rsidR="00D256EF">
        <w:rPr>
          <w:rFonts w:ascii="Times New Roman" w:hAnsi="Times New Roman" w:cs="Times New Roman"/>
          <w:sz w:val="24"/>
          <w:szCs w:val="24"/>
        </w:rPr>
        <w:t xml:space="preserve"> </w:t>
      </w:r>
      <w:r w:rsidR="00D256EF" w:rsidRPr="00D256EF">
        <w:rPr>
          <w:rFonts w:ascii="Times New Roman" w:hAnsi="Times New Roman" w:cs="Times New Roman"/>
          <w:sz w:val="24"/>
          <w:szCs w:val="24"/>
        </w:rPr>
        <w:t>(Aubry and Yin, 2024).</w:t>
      </w:r>
      <w:r w:rsidR="00E469B0">
        <w:rPr>
          <w:rFonts w:ascii="Times New Roman" w:hAnsi="Times New Roman" w:cs="Times New Roman"/>
          <w:sz w:val="24"/>
          <w:szCs w:val="24"/>
        </w:rPr>
        <w:t xml:space="preserve"> </w:t>
      </w:r>
      <w:r w:rsidR="00E469B0" w:rsidRPr="00E469B0">
        <w:rPr>
          <w:rFonts w:ascii="Times New Roman" w:hAnsi="Times New Roman" w:cs="Times New Roman"/>
          <w:sz w:val="24"/>
          <w:szCs w:val="24"/>
        </w:rPr>
        <w:t>Finally, private investments and infrastructure projects are accompanied by profound unsystematic and regulatory hazards.</w:t>
      </w:r>
      <w:r w:rsidR="00E469B0">
        <w:rPr>
          <w:rFonts w:ascii="Times New Roman" w:hAnsi="Times New Roman" w:cs="Times New Roman"/>
          <w:sz w:val="24"/>
          <w:szCs w:val="24"/>
        </w:rPr>
        <w:t xml:space="preserve"> </w:t>
      </w:r>
      <w:r w:rsidR="00E469B0" w:rsidRPr="00E469B0">
        <w:rPr>
          <w:rFonts w:ascii="Times New Roman" w:hAnsi="Times New Roman" w:cs="Times New Roman"/>
          <w:sz w:val="24"/>
          <w:szCs w:val="24"/>
        </w:rPr>
        <w:t>The UK’s Universities Superannuation Scheme (USS)</w:t>
      </w:r>
      <w:r w:rsidR="00E469B0">
        <w:rPr>
          <w:rFonts w:ascii="Times New Roman" w:hAnsi="Times New Roman" w:cs="Times New Roman"/>
          <w:sz w:val="24"/>
          <w:szCs w:val="24"/>
        </w:rPr>
        <w:t xml:space="preserve"> </w:t>
      </w:r>
      <w:r w:rsidR="00E469B0" w:rsidRPr="00E469B0">
        <w:rPr>
          <w:rFonts w:ascii="Times New Roman" w:hAnsi="Times New Roman" w:cs="Times New Roman"/>
          <w:sz w:val="24"/>
          <w:szCs w:val="24"/>
        </w:rPr>
        <w:t>invested heavily in Thames Water, a regulated utility company, valuing its stake at nearly £956 million. However, due to severe operational failures and regulatory clashes, the investment's value collapsed to a minimal amount, causing a near-total capital loss</w:t>
      </w:r>
      <w:r w:rsidR="00E469B0">
        <w:rPr>
          <w:rFonts w:ascii="Times New Roman" w:hAnsi="Times New Roman" w:cs="Times New Roman"/>
          <w:sz w:val="24"/>
          <w:szCs w:val="24"/>
        </w:rPr>
        <w:t xml:space="preserve"> (Rundell, 2024)</w:t>
      </w:r>
      <w:r w:rsidR="00E469B0" w:rsidRPr="00E469B0">
        <w:rPr>
          <w:rFonts w:ascii="Times New Roman" w:hAnsi="Times New Roman" w:cs="Times New Roman"/>
          <w:sz w:val="24"/>
          <w:szCs w:val="24"/>
        </w:rPr>
        <w:t>.</w:t>
      </w:r>
    </w:p>
    <w:p w14:paraId="1F7ED6BE" w14:textId="77777777" w:rsidR="006B0795" w:rsidRDefault="006B0795" w:rsidP="00E27EF2">
      <w:pPr>
        <w:spacing w:line="240" w:lineRule="auto"/>
        <w:jc w:val="both"/>
        <w:rPr>
          <w:rFonts w:ascii="Times New Roman" w:hAnsi="Times New Roman" w:cs="Times New Roman"/>
          <w:sz w:val="24"/>
          <w:szCs w:val="24"/>
        </w:rPr>
      </w:pPr>
    </w:p>
    <w:p w14:paraId="695B16F0" w14:textId="33F815E4" w:rsidR="006B0795" w:rsidRDefault="00193A68" w:rsidP="00E27EF2">
      <w:pPr>
        <w:spacing w:line="240" w:lineRule="auto"/>
        <w:jc w:val="both"/>
        <w:rPr>
          <w:rFonts w:ascii="Times New Roman" w:hAnsi="Times New Roman" w:cs="Times New Roman"/>
          <w:sz w:val="24"/>
          <w:szCs w:val="24"/>
        </w:rPr>
      </w:pPr>
      <w:r w:rsidRPr="00193A68">
        <w:rPr>
          <w:rFonts w:ascii="Times New Roman" w:hAnsi="Times New Roman" w:cs="Times New Roman"/>
          <w:sz w:val="24"/>
          <w:szCs w:val="24"/>
        </w:rPr>
        <w:t>In conclusion, alternative assets serve as a double-edged sword within pension portfolios, theoretically enhancing diversification and providing genuine inflation protection, yet simultaneously introducing substantial hidden risks</w:t>
      </w:r>
      <w:r w:rsidR="000E6EB1">
        <w:rPr>
          <w:rFonts w:ascii="Times New Roman" w:hAnsi="Times New Roman" w:cs="Times New Roman"/>
          <w:sz w:val="24"/>
          <w:szCs w:val="24"/>
        </w:rPr>
        <w:t xml:space="preserve">. </w:t>
      </w:r>
      <w:r w:rsidR="000E6EB1" w:rsidRPr="000E6EB1">
        <w:rPr>
          <w:rFonts w:ascii="Times New Roman" w:hAnsi="Times New Roman" w:cs="Times New Roman"/>
          <w:sz w:val="24"/>
          <w:szCs w:val="24"/>
        </w:rPr>
        <w:t>Although private markets are often praised for their low volatility, this is usually caused by infrequent and unclear pricing methods instead of true economic stability</w:t>
      </w:r>
      <w:r w:rsidR="000E6EB1">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{"citationID":"rw82uR8m","properties":{"formattedCitation":"(nuveen, 2025)","plainCitation":"(nuveen, 2025)","noteIndex":0},"citationItems":[{"id":57,"uris":["http://zotero.org/users/local/R5xVNRvV/items/AECPM2IK"],"itemData":{"id":57,"type":"webpage","abstract":"Investing in listed infrastructure may benefit institutional investors in several ways.","language":"en","title":"Global Infrastructure: Listed vs. private infrastructure: Why not both?","title-short":"Global Infrastructure","URL":"https://documents.nuveen.com/Documents/Global/Default.aspx?uniqueid=b83ae20f-5425-4dc0-9679-904bc1ebc81c","author":[{"literal":"nuveen"}],"accessed":{"date-parts":[["2026",3,15]]},"issued":{"date-parts":[["2025"]]}}}],"schema":"https://github.com/citation-style-language/schema/raw/master/csl-citation.json"} </w:instrText>
      </w:r>
      <w:r>
        <w:rPr>
          <w:rFonts w:ascii="Times New Roman" w:hAnsi="Times New Roman" w:cs="Times New Roman"/>
          <w:sz w:val="24"/>
          <w:szCs w:val="24"/>
        </w:rPr>
        <w:fldChar w:fldCharType="separate"/>
      </w:r>
      <w:r w:rsidRPr="00193A68">
        <w:rPr>
          <w:rFonts w:ascii="Times New Roman" w:hAnsi="Times New Roman" w:cs="Times New Roman"/>
          <w:sz w:val="24"/>
        </w:rPr>
        <w:t>(nuveen, 2025)</w:t>
      </w:r>
      <w:r>
        <w:rPr>
          <w:rFonts w:ascii="Times New Roman" w:hAnsi="Times New Roman" w:cs="Times New Roman"/>
          <w:sz w:val="24"/>
          <w:szCs w:val="24"/>
        </w:rPr>
        <w:fldChar w:fldCharType="end"/>
      </w:r>
      <w:r w:rsidRPr="00193A68">
        <w:rPr>
          <w:rFonts w:ascii="Times New Roman" w:hAnsi="Times New Roman" w:cs="Times New Roman"/>
          <w:sz w:val="24"/>
          <w:szCs w:val="24"/>
        </w:rPr>
        <w:t>. Ultimately, the successful integration of alternative investments is heavily contingent upon a fund's scale, governance, and operational sophistication. Massive, independent institutions</w:t>
      </w:r>
      <w:r w:rsidR="000C341B">
        <w:rPr>
          <w:rFonts w:ascii="Times New Roman" w:hAnsi="Times New Roman" w:cs="Times New Roman"/>
          <w:sz w:val="24"/>
          <w:szCs w:val="24"/>
        </w:rPr>
        <w:t xml:space="preserve">, </w:t>
      </w:r>
      <w:r w:rsidRPr="00193A68">
        <w:rPr>
          <w:rFonts w:ascii="Times New Roman" w:hAnsi="Times New Roman" w:cs="Times New Roman"/>
          <w:sz w:val="24"/>
          <w:szCs w:val="24"/>
        </w:rPr>
        <w:t>such as the Canadian funds</w:t>
      </w:r>
      <w:r w:rsidR="000C341B">
        <w:rPr>
          <w:rFonts w:ascii="Times New Roman" w:hAnsi="Times New Roman" w:cs="Times New Roman"/>
          <w:sz w:val="24"/>
          <w:szCs w:val="24"/>
        </w:rPr>
        <w:t xml:space="preserve">, </w:t>
      </w:r>
      <w:r w:rsidRPr="00193A68">
        <w:rPr>
          <w:rFonts w:ascii="Times New Roman" w:hAnsi="Times New Roman" w:cs="Times New Roman"/>
          <w:sz w:val="24"/>
          <w:szCs w:val="24"/>
        </w:rPr>
        <w:t xml:space="preserve">successfully leverage their size to invest directly, thereby avoiding the exorbitant fee drag that plagues many local government schemes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{"citationID":"r030S4jK","properties":{"formattedCitation":"(Mary, C and Authers, J, 2016)","plainCitation":"(Mary, C and Authers, J, 2016)","noteIndex":0},"citationItems":[{"id":53,"uris":["http://zotero.org/users/local/R5xVNRvV/items/2BZ2XV46"],"itemData":{"id":53,"type":"webpage","abstract":"Half a decade ago, the top brass of New York City’s comptroller’s office hopped on a plane to learn from a Canadian pension plan. Thenmayor Michael Bloomberg and comptroller John Liu sent their deputies to study the model of their northern neighbours...","language":"en","title":"Article: Canada quietly treads radical path on pensions","title-short":"Article","URL":"https://www.otpp.com/en-ca/about-us/news-and-insights/2016/article-canada-quietly-treads-radical-path-on-pensions/","author":[{"literal":"Mary, C"},{"literal":"Authers, J"}],"accessed":{"date-parts":[["2026",3,14]]},"issued":{"date-parts":[["2016",8,24]]}}}],"schema":"https://github.com/citation-style-language/schema/raw/master/csl-citation.json"} </w:instrText>
      </w:r>
      <w:r>
        <w:rPr>
          <w:rFonts w:ascii="Times New Roman" w:hAnsi="Times New Roman" w:cs="Times New Roman"/>
          <w:sz w:val="24"/>
          <w:szCs w:val="24"/>
        </w:rPr>
        <w:fldChar w:fldCharType="separate"/>
      </w:r>
      <w:r w:rsidRPr="00193A68">
        <w:rPr>
          <w:rFonts w:ascii="Times New Roman" w:hAnsi="Times New Roman" w:cs="Times New Roman"/>
          <w:sz w:val="24"/>
        </w:rPr>
        <w:t>(Mary</w:t>
      </w:r>
      <w:r>
        <w:rPr>
          <w:rFonts w:ascii="Times New Roman" w:hAnsi="Times New Roman" w:cs="Times New Roman"/>
          <w:sz w:val="24"/>
        </w:rPr>
        <w:t xml:space="preserve"> </w:t>
      </w:r>
      <w:r w:rsidRPr="00193A68">
        <w:rPr>
          <w:rFonts w:ascii="Times New Roman" w:hAnsi="Times New Roman" w:cs="Times New Roman"/>
          <w:sz w:val="24"/>
        </w:rPr>
        <w:t>and Authers, 2016)</w:t>
      </w:r>
      <w:r>
        <w:rPr>
          <w:rFonts w:ascii="Times New Roman" w:hAnsi="Times New Roman" w:cs="Times New Roman"/>
          <w:sz w:val="24"/>
          <w:szCs w:val="24"/>
        </w:rPr>
        <w:fldChar w:fldCharType="end"/>
      </w:r>
      <w:r w:rsidRPr="00193A68">
        <w:rPr>
          <w:rFonts w:ascii="Times New Roman" w:hAnsi="Times New Roman" w:cs="Times New Roman"/>
          <w:sz w:val="24"/>
          <w:szCs w:val="24"/>
        </w:rPr>
        <w:t xml:space="preserve">. Conversely, for smaller funds reliant on external asset managers, any potential outperformance </w:t>
      </w:r>
      <w:r w:rsidR="006B0795">
        <w:rPr>
          <w:rFonts w:ascii="Times New Roman" w:hAnsi="Times New Roman" w:cs="Times New Roman"/>
          <w:sz w:val="24"/>
          <w:szCs w:val="24"/>
        </w:rPr>
        <w:t>from private markets is often eroded by aggressive fee structures, leaving pensioners to bear significant</w:t>
      </w:r>
      <w:r w:rsidRPr="00193A68">
        <w:rPr>
          <w:rFonts w:ascii="Times New Roman" w:hAnsi="Times New Roman" w:cs="Times New Roman"/>
          <w:sz w:val="24"/>
          <w:szCs w:val="24"/>
        </w:rPr>
        <w:t xml:space="preserve"> illiquidity risks without reaping the corresponding financial rewards </w:t>
      </w:r>
      <w:r w:rsidR="006B0795" w:rsidRPr="00D256EF">
        <w:rPr>
          <w:rFonts w:ascii="Times New Roman" w:hAnsi="Times New Roman" w:cs="Times New Roman"/>
          <w:sz w:val="24"/>
          <w:szCs w:val="24"/>
        </w:rPr>
        <w:t>(Aubry and Yin, 2024)</w:t>
      </w:r>
      <w:r w:rsidRPr="00193A68">
        <w:rPr>
          <w:rFonts w:ascii="Times New Roman" w:hAnsi="Times New Roman" w:cs="Times New Roman"/>
          <w:sz w:val="24"/>
          <w:szCs w:val="24"/>
        </w:rPr>
        <w:t xml:space="preserve">. Therefore, while highly resourced funds are uniquely equipped to navigate prolonged illiquidity and capture the associated premiums, traditional funds </w:t>
      </w:r>
      <w:r w:rsidR="006B0795">
        <w:rPr>
          <w:rFonts w:ascii="Times New Roman" w:hAnsi="Times New Roman" w:cs="Times New Roman"/>
          <w:sz w:val="24"/>
          <w:szCs w:val="24"/>
        </w:rPr>
        <w:t xml:space="preserve">that rely on the illusion of smoothed returns face critical vulnerabilities that may ultimately </w:t>
      </w:r>
      <w:r w:rsidR="00D83D70">
        <w:rPr>
          <w:rFonts w:ascii="Times New Roman" w:hAnsi="Times New Roman" w:cs="Times New Roman"/>
          <w:sz w:val="24"/>
          <w:szCs w:val="24"/>
        </w:rPr>
        <w:t xml:space="preserve">put </w:t>
      </w:r>
      <w:r w:rsidR="006B0795">
        <w:rPr>
          <w:rFonts w:ascii="Times New Roman" w:hAnsi="Times New Roman" w:cs="Times New Roman"/>
          <w:sz w:val="24"/>
          <w:szCs w:val="24"/>
        </w:rPr>
        <w:t>their members' retirement security</w:t>
      </w:r>
      <w:r w:rsidR="00D83D70">
        <w:rPr>
          <w:rFonts w:ascii="Times New Roman" w:hAnsi="Times New Roman" w:cs="Times New Roman"/>
          <w:sz w:val="24"/>
          <w:szCs w:val="24"/>
        </w:rPr>
        <w:t xml:space="preserve"> at risk</w:t>
      </w:r>
      <w:r w:rsidRPr="00193A68">
        <w:rPr>
          <w:rFonts w:ascii="Times New Roman" w:hAnsi="Times New Roman" w:cs="Times New Roman"/>
          <w:sz w:val="24"/>
          <w:szCs w:val="24"/>
        </w:rPr>
        <w:t>.</w:t>
      </w:r>
    </w:p>
    <w:p w14:paraId="063ACCCE" w14:textId="77777777" w:rsidR="006B0795" w:rsidRDefault="006B0795" w:rsidP="00E27EF2">
      <w:pPr>
        <w:spacing w:line="240" w:lineRule="auto"/>
        <w:jc w:val="both"/>
        <w:rPr>
          <w:rFonts w:ascii="Times New Roman" w:hAnsi="Times New Roman" w:cs="Times New Roman"/>
          <w:sz w:val="24"/>
          <w:szCs w:val="24"/>
        </w:rPr>
      </w:pPr>
      <w:r>
        <w:rPr>
          <w:rFonts w:ascii="Times New Roman" w:hAnsi="Times New Roman" w:cs="Times New Roman"/>
          <w:sz w:val="24"/>
          <w:szCs w:val="24"/>
        </w:rPr>
        <w:br w:type="page"/>
      </w:r>
    </w:p>
    <w:p w14:paraId="689BC719" w14:textId="05BF4349" w:rsidR="00D256EF" w:rsidRDefault="006B0795" w:rsidP="00E27EF2">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Appendix:</w:t>
      </w:r>
    </w:p>
    <w:p w14:paraId="791D95B4" w14:textId="77777777" w:rsidR="006B0795" w:rsidRPr="006B0795" w:rsidRDefault="006B0795" w:rsidP="00E27EF2">
      <w:pPr>
        <w:spacing w:line="240" w:lineRule="auto"/>
        <w:jc w:val="both"/>
        <w:rPr>
          <w:rFonts w:ascii="Times New Roman" w:eastAsiaTheme="majorEastAsia" w:hAnsi="Times New Roman" w:cs="Times New Roman"/>
          <w:color w:val="2F5496" w:themeColor="accent1" w:themeShade="BF"/>
          <w:sz w:val="24"/>
          <w:szCs w:val="24"/>
        </w:rPr>
      </w:pPr>
      <w:r w:rsidRPr="006B0795">
        <w:rPr>
          <w:rFonts w:ascii="Times New Roman" w:hAnsi="Times New Roman" w:cs="Times New Roman"/>
          <w:b/>
          <w:bCs/>
          <w:sz w:val="24"/>
          <w:szCs w:val="24"/>
        </w:rPr>
        <w:t>Declaration of using Generative AI.</w:t>
      </w:r>
    </w:p>
    <w:p w14:paraId="055C0B95" w14:textId="41406084" w:rsidR="004C08F0" w:rsidRPr="00D83D70" w:rsidRDefault="006B0795" w:rsidP="00E27EF2">
      <w:pPr>
        <w:spacing w:line="240" w:lineRule="auto"/>
        <w:jc w:val="both"/>
        <w:rPr>
          <w:rFonts w:ascii="Times New Roman" w:hAnsi="Times New Roman" w:cs="Times New Roman"/>
          <w:sz w:val="24"/>
          <w:szCs w:val="24"/>
        </w:rPr>
      </w:pPr>
      <w:r w:rsidRPr="00D83D70">
        <w:rPr>
          <w:rFonts w:ascii="Times New Roman" w:hAnsi="Times New Roman" w:cs="Times New Roman"/>
          <w:sz w:val="24"/>
          <w:szCs w:val="24"/>
        </w:rPr>
        <w:t>I confirm that generative AI tools were used for proofreading. All data, analysis, and conclusions presented are my own</w:t>
      </w:r>
      <w:r w:rsidR="00D83D70">
        <w:rPr>
          <w:rFonts w:ascii="Times New Roman" w:hAnsi="Times New Roman" w:cs="Times New Roman"/>
          <w:sz w:val="24"/>
          <w:szCs w:val="24"/>
        </w:rPr>
        <w:t xml:space="preserve">. To be more specific, </w:t>
      </w:r>
      <w:hyperlink r:id="rId8" w:history="1">
        <w:r w:rsidR="00D83D70" w:rsidRPr="00D83D70">
          <w:rPr>
            <w:rStyle w:val="Hyperlink"/>
            <w:rFonts w:ascii="Times New Roman" w:hAnsi="Times New Roman" w:cs="Times New Roman"/>
            <w:sz w:val="24"/>
            <w:szCs w:val="24"/>
          </w:rPr>
          <w:t>Grammarly</w:t>
        </w:r>
      </w:hyperlink>
      <w:r w:rsidR="00D83D70">
        <w:rPr>
          <w:rFonts w:ascii="Times New Roman" w:hAnsi="Times New Roman" w:cs="Times New Roman"/>
          <w:sz w:val="24"/>
          <w:szCs w:val="24"/>
        </w:rPr>
        <w:t xml:space="preserve"> (Grammarly, 2026) was used for checking grammar, and </w:t>
      </w:r>
      <w:hyperlink r:id="rId9" w:history="1">
        <w:r w:rsidR="00D83D70" w:rsidRPr="00D83D70">
          <w:rPr>
            <w:rStyle w:val="Hyperlink"/>
            <w:rFonts w:ascii="Times New Roman" w:hAnsi="Times New Roman" w:cs="Times New Roman"/>
            <w:sz w:val="24"/>
            <w:szCs w:val="24"/>
          </w:rPr>
          <w:t>Gemini</w:t>
        </w:r>
      </w:hyperlink>
      <w:r w:rsidR="00D83D70">
        <w:rPr>
          <w:rFonts w:ascii="Times New Roman" w:hAnsi="Times New Roman" w:cs="Times New Roman"/>
          <w:sz w:val="24"/>
          <w:szCs w:val="24"/>
        </w:rPr>
        <w:t xml:space="preserve"> (Google, 2026) was used for brainstorming the structure of the essay.</w:t>
      </w:r>
    </w:p>
    <w:p w14:paraId="0F006994" w14:textId="77777777" w:rsidR="003B74FD" w:rsidRDefault="003B74FD" w:rsidP="00E27EF2">
      <w:pPr>
        <w:spacing w:line="240" w:lineRule="auto"/>
        <w:jc w:val="both"/>
        <w:rPr>
          <w:rFonts w:ascii="Times New Roman" w:hAnsi="Times New Roman" w:cs="Times New Roman"/>
          <w:sz w:val="24"/>
          <w:szCs w:val="24"/>
        </w:rPr>
      </w:pPr>
    </w:p>
    <w:p w14:paraId="4F257DB9" w14:textId="77777777" w:rsidR="003B74FD" w:rsidRDefault="003B74FD" w:rsidP="00E27EF2">
      <w:pPr>
        <w:spacing w:line="240" w:lineRule="auto"/>
        <w:jc w:val="both"/>
        <w:rPr>
          <w:rFonts w:ascii="Times New Roman" w:hAnsi="Times New Roman" w:cs="Times New Roman"/>
          <w:sz w:val="24"/>
          <w:szCs w:val="24"/>
        </w:rPr>
      </w:pPr>
    </w:p>
    <w:p w14:paraId="7EE5C209" w14:textId="1BE584D4" w:rsidR="0030257E" w:rsidRDefault="0030257E" w:rsidP="00E27EF2">
      <w:pPr>
        <w:spacing w:line="240" w:lineRule="auto"/>
        <w:jc w:val="both"/>
        <w:rPr>
          <w:rFonts w:ascii="Times New Roman" w:hAnsi="Times New Roman" w:cs="Times New Roman"/>
          <w:sz w:val="24"/>
          <w:szCs w:val="24"/>
        </w:rPr>
      </w:pPr>
      <w:r>
        <w:rPr>
          <w:rFonts w:ascii="Times New Roman" w:hAnsi="Times New Roman" w:cs="Times New Roman"/>
          <w:sz w:val="24"/>
          <w:szCs w:val="24"/>
        </w:rPr>
        <w:br w:type="page"/>
      </w:r>
    </w:p>
    <w:p w14:paraId="4A530918" w14:textId="77777777" w:rsidR="00FC1F7F" w:rsidRDefault="003B74FD" w:rsidP="00E27EF2">
      <w:pPr>
        <w:pStyle w:val="Bibliography"/>
        <w:jc w:val="both"/>
        <w:rPr>
          <w:b/>
          <w:bCs/>
          <w:sz w:val="24"/>
          <w:szCs w:val="24"/>
        </w:rPr>
      </w:pPr>
      <w:r>
        <w:rPr>
          <w:b/>
          <w:bCs/>
          <w:sz w:val="24"/>
          <w:szCs w:val="24"/>
        </w:rPr>
        <w:lastRenderedPageBreak/>
        <w:t>References:</w:t>
      </w:r>
    </w:p>
    <w:p w14:paraId="19891B77" w14:textId="77777777" w:rsidR="00E469B0" w:rsidRPr="00E469B0" w:rsidRDefault="0030257E" w:rsidP="00E27EF2">
      <w:pPr>
        <w:pStyle w:val="Bibliography"/>
        <w:jc w:val="both"/>
        <w:rPr>
          <w:rFonts w:ascii="Times New Roman" w:hAnsi="Times New Roman" w:cs="Times New Roman"/>
          <w:sz w:val="24"/>
        </w:rPr>
      </w:pPr>
      <w:r>
        <w:rPr>
          <w:sz w:val="24"/>
          <w:szCs w:val="24"/>
        </w:rPr>
        <w:fldChar w:fldCharType="begin"/>
      </w:r>
      <w:r w:rsidR="00FC1F7F">
        <w:rPr>
          <w:sz w:val="24"/>
          <w:szCs w:val="24"/>
        </w:rPr>
        <w:instrText xml:space="preserve"> ADDIN ZOTERO_BIBL {"uncited":[],"omitted":[],"custom":[]} CSL_BIBLIOGRAPHY </w:instrText>
      </w:r>
      <w:r>
        <w:rPr>
          <w:sz w:val="24"/>
          <w:szCs w:val="24"/>
        </w:rPr>
        <w:fldChar w:fldCharType="separate"/>
      </w:r>
      <w:r w:rsidR="00E469B0" w:rsidRPr="00E469B0">
        <w:rPr>
          <w:rFonts w:ascii="Times New Roman" w:hAnsi="Times New Roman" w:cs="Times New Roman"/>
          <w:sz w:val="24"/>
        </w:rPr>
        <w:t xml:space="preserve">American Investment Council (2024) </w:t>
      </w:r>
      <w:r w:rsidR="00E469B0" w:rsidRPr="00E469B0">
        <w:rPr>
          <w:rFonts w:ascii="Times New Roman" w:hAnsi="Times New Roman" w:cs="Times New Roman"/>
          <w:i/>
          <w:iCs/>
          <w:sz w:val="24"/>
        </w:rPr>
        <w:t>Private equity delivers the strongest returns for retirees across America</w:t>
      </w:r>
      <w:r w:rsidR="00E469B0" w:rsidRPr="00E469B0">
        <w:rPr>
          <w:rFonts w:ascii="Times New Roman" w:hAnsi="Times New Roman" w:cs="Times New Roman"/>
          <w:sz w:val="24"/>
        </w:rPr>
        <w:t xml:space="preserve">. [online]. Available from: </w:t>
      </w:r>
      <w:hyperlink r:id="rId10" w:tgtFrame="_blank" w:history="1">
        <w:r w:rsidR="00E469B0" w:rsidRPr="00E469B0">
          <w:rPr>
            <w:rStyle w:val="Hyperlink"/>
            <w:rFonts w:ascii="Times New Roman" w:hAnsi="Times New Roman" w:cs="Times New Roman"/>
            <w:sz w:val="24"/>
          </w:rPr>
          <w:t>https://www.investmentcouncil.org/wp-content/uploads/2024/07/2024-AIC-Pensions-Report_final.pdf</w:t>
        </w:r>
      </w:hyperlink>
      <w:r w:rsidR="00E469B0" w:rsidRPr="00E469B0">
        <w:rPr>
          <w:rFonts w:ascii="Times New Roman" w:hAnsi="Times New Roman" w:cs="Times New Roman"/>
          <w:sz w:val="24"/>
        </w:rPr>
        <w:t xml:space="preserve"> [Accessed 14 March 2026].</w:t>
      </w:r>
    </w:p>
    <w:p w14:paraId="3BEF53BC" w14:textId="77777777" w:rsidR="00E469B0" w:rsidRPr="00E469B0" w:rsidRDefault="00E469B0" w:rsidP="00E27EF2">
      <w:pPr>
        <w:pStyle w:val="Bibliography"/>
        <w:jc w:val="both"/>
        <w:rPr>
          <w:rFonts w:ascii="Times New Roman" w:hAnsi="Times New Roman" w:cs="Times New Roman"/>
          <w:sz w:val="24"/>
        </w:rPr>
      </w:pPr>
      <w:r w:rsidRPr="00E469B0">
        <w:rPr>
          <w:rFonts w:ascii="Times New Roman" w:hAnsi="Times New Roman" w:cs="Times New Roman"/>
          <w:sz w:val="24"/>
        </w:rPr>
        <w:t xml:space="preserve">American Investment Council (2025) </w:t>
      </w:r>
      <w:r w:rsidRPr="00E469B0">
        <w:rPr>
          <w:rFonts w:ascii="Times New Roman" w:hAnsi="Times New Roman" w:cs="Times New Roman"/>
          <w:i/>
          <w:iCs/>
          <w:sz w:val="24"/>
        </w:rPr>
        <w:t>2025 retirement security report: Private assets deliver the strongest returns for retirees across America</w:t>
      </w:r>
      <w:r w:rsidRPr="00E469B0">
        <w:rPr>
          <w:rFonts w:ascii="Times New Roman" w:hAnsi="Times New Roman" w:cs="Times New Roman"/>
          <w:sz w:val="24"/>
        </w:rPr>
        <w:t xml:space="preserve">. [online]. Available from: </w:t>
      </w:r>
      <w:hyperlink r:id="rId11" w:tgtFrame="_blank" w:history="1">
        <w:r w:rsidRPr="00E469B0">
          <w:rPr>
            <w:rStyle w:val="Hyperlink"/>
            <w:rFonts w:ascii="Times New Roman" w:hAnsi="Times New Roman" w:cs="Times New Roman"/>
            <w:sz w:val="24"/>
          </w:rPr>
          <w:t>https://www.investmentcouncil.org/wp-content/uploads/2025/07/AIC-2025-Pensions-Report.pdf</w:t>
        </w:r>
      </w:hyperlink>
      <w:r w:rsidRPr="00E469B0">
        <w:rPr>
          <w:rFonts w:ascii="Times New Roman" w:hAnsi="Times New Roman" w:cs="Times New Roman"/>
          <w:sz w:val="24"/>
        </w:rPr>
        <w:t xml:space="preserve"> [Accessed 14 March 2026].</w:t>
      </w:r>
    </w:p>
    <w:p w14:paraId="676C3347" w14:textId="77777777" w:rsidR="00E469B0" w:rsidRPr="00E469B0" w:rsidRDefault="00E469B0" w:rsidP="00E27EF2">
      <w:pPr>
        <w:pStyle w:val="Bibliography"/>
        <w:jc w:val="both"/>
        <w:rPr>
          <w:rFonts w:ascii="Times New Roman" w:hAnsi="Times New Roman" w:cs="Times New Roman"/>
          <w:sz w:val="24"/>
        </w:rPr>
      </w:pPr>
      <w:r w:rsidRPr="00E469B0">
        <w:rPr>
          <w:rFonts w:ascii="Times New Roman" w:hAnsi="Times New Roman" w:cs="Times New Roman"/>
          <w:sz w:val="24"/>
        </w:rPr>
        <w:t xml:space="preserve">Appelbaum, E. (2026) </w:t>
      </w:r>
      <w:r w:rsidRPr="00E469B0">
        <w:rPr>
          <w:rFonts w:ascii="Times New Roman" w:hAnsi="Times New Roman" w:cs="Times New Roman"/>
          <w:i/>
          <w:iCs/>
          <w:sz w:val="24"/>
        </w:rPr>
        <w:t>Private equity: In the doldrums and out of favor with some institutional investors</w:t>
      </w:r>
      <w:r w:rsidRPr="00E469B0">
        <w:rPr>
          <w:rFonts w:ascii="Times New Roman" w:hAnsi="Times New Roman" w:cs="Times New Roman"/>
          <w:sz w:val="24"/>
        </w:rPr>
        <w:t xml:space="preserve">. [online]. CEPR. Available from: </w:t>
      </w:r>
      <w:hyperlink r:id="rId12" w:tgtFrame="_blank" w:history="1">
        <w:r w:rsidRPr="00E469B0">
          <w:rPr>
            <w:rStyle w:val="Hyperlink"/>
            <w:rFonts w:ascii="Times New Roman" w:hAnsi="Times New Roman" w:cs="Times New Roman"/>
            <w:sz w:val="24"/>
          </w:rPr>
          <w:t>https://cepr.net/publications/private-equity-in-the-doldrums-and-out-of-favor/</w:t>
        </w:r>
      </w:hyperlink>
      <w:r w:rsidRPr="00E469B0">
        <w:rPr>
          <w:rFonts w:ascii="Times New Roman" w:hAnsi="Times New Roman" w:cs="Times New Roman"/>
          <w:sz w:val="24"/>
        </w:rPr>
        <w:t xml:space="preserve"> [Accessed 15 March 2026].</w:t>
      </w:r>
    </w:p>
    <w:p w14:paraId="3CF81EC8" w14:textId="77777777" w:rsidR="00E469B0" w:rsidRPr="00E469B0" w:rsidRDefault="00E469B0" w:rsidP="00E27EF2">
      <w:pPr>
        <w:pStyle w:val="Bibliography"/>
        <w:jc w:val="both"/>
        <w:rPr>
          <w:rFonts w:ascii="Times New Roman" w:hAnsi="Times New Roman" w:cs="Times New Roman"/>
          <w:sz w:val="24"/>
        </w:rPr>
      </w:pPr>
      <w:r w:rsidRPr="00E469B0">
        <w:rPr>
          <w:rFonts w:ascii="Times New Roman" w:hAnsi="Times New Roman" w:cs="Times New Roman"/>
          <w:sz w:val="24"/>
        </w:rPr>
        <w:t xml:space="preserve">Aubry, J.-P. and Yin, Y. (2024) </w:t>
      </w:r>
      <w:r w:rsidRPr="00E469B0">
        <w:rPr>
          <w:rFonts w:ascii="Times New Roman" w:hAnsi="Times New Roman" w:cs="Times New Roman"/>
          <w:i/>
          <w:iCs/>
          <w:sz w:val="24"/>
        </w:rPr>
        <w:t>How do public pension plan returns compare to simple index investing?</w:t>
      </w:r>
      <w:r w:rsidRPr="00E469B0">
        <w:rPr>
          <w:rFonts w:ascii="Times New Roman" w:hAnsi="Times New Roman" w:cs="Times New Roman"/>
          <w:sz w:val="24"/>
        </w:rPr>
        <w:t xml:space="preserve"> [online]. Chestnut Hill, MA: Center for Retirement Research at Boston College. Available from: </w:t>
      </w:r>
      <w:hyperlink r:id="rId13" w:tgtFrame="_blank" w:history="1">
        <w:r w:rsidRPr="00E469B0">
          <w:rPr>
            <w:rStyle w:val="Hyperlink"/>
            <w:rFonts w:ascii="Times New Roman" w:hAnsi="Times New Roman" w:cs="Times New Roman"/>
            <w:sz w:val="24"/>
          </w:rPr>
          <w:t>https://crr.bc.edu/wp-content/uploads/2024/06/IB_24-13-1.pdf</w:t>
        </w:r>
      </w:hyperlink>
      <w:r w:rsidRPr="00E469B0">
        <w:rPr>
          <w:rFonts w:ascii="Times New Roman" w:hAnsi="Times New Roman" w:cs="Times New Roman"/>
          <w:sz w:val="24"/>
        </w:rPr>
        <w:t xml:space="preserve"> [Accessed 15 March 2026].</w:t>
      </w:r>
    </w:p>
    <w:p w14:paraId="15C1BF64" w14:textId="77777777" w:rsidR="00E469B0" w:rsidRPr="00E469B0" w:rsidRDefault="00E469B0" w:rsidP="00E27EF2">
      <w:pPr>
        <w:pStyle w:val="Bibliography"/>
        <w:jc w:val="both"/>
        <w:rPr>
          <w:rFonts w:ascii="Times New Roman" w:hAnsi="Times New Roman" w:cs="Times New Roman"/>
          <w:sz w:val="24"/>
        </w:rPr>
      </w:pPr>
      <w:r w:rsidRPr="00E469B0">
        <w:rPr>
          <w:rFonts w:ascii="Times New Roman" w:hAnsi="Times New Roman" w:cs="Times New Roman"/>
          <w:sz w:val="24"/>
        </w:rPr>
        <w:t xml:space="preserve">Cherry Bekaert (2025) </w:t>
      </w:r>
      <w:r w:rsidRPr="00E469B0">
        <w:rPr>
          <w:rFonts w:ascii="Times New Roman" w:hAnsi="Times New Roman" w:cs="Times New Roman"/>
          <w:i/>
          <w:iCs/>
          <w:sz w:val="24"/>
        </w:rPr>
        <w:t>U.S. alternative investment industry report 2025</w:t>
      </w:r>
      <w:r w:rsidRPr="00E469B0">
        <w:rPr>
          <w:rFonts w:ascii="Times New Roman" w:hAnsi="Times New Roman" w:cs="Times New Roman"/>
          <w:sz w:val="24"/>
        </w:rPr>
        <w:t xml:space="preserve">. [online]. Available from: </w:t>
      </w:r>
      <w:hyperlink r:id="rId14" w:tgtFrame="_blank" w:history="1">
        <w:r w:rsidRPr="00E469B0">
          <w:rPr>
            <w:rStyle w:val="Hyperlink"/>
            <w:rFonts w:ascii="Times New Roman" w:hAnsi="Times New Roman" w:cs="Times New Roman"/>
            <w:sz w:val="24"/>
          </w:rPr>
          <w:t>https://www.cbh.com/insights/reports/u.s.-alternative-investment-industry-report-2025</w:t>
        </w:r>
      </w:hyperlink>
      <w:r w:rsidRPr="00E469B0">
        <w:rPr>
          <w:rFonts w:ascii="Times New Roman" w:hAnsi="Times New Roman" w:cs="Times New Roman"/>
          <w:sz w:val="24"/>
        </w:rPr>
        <w:t xml:space="preserve"> [Accessed 15 March 2026].</w:t>
      </w:r>
    </w:p>
    <w:p w14:paraId="44D825E9" w14:textId="77777777" w:rsidR="00E469B0" w:rsidRPr="00E469B0" w:rsidRDefault="00E469B0" w:rsidP="00E27EF2">
      <w:pPr>
        <w:pStyle w:val="Bibliography"/>
        <w:jc w:val="both"/>
        <w:rPr>
          <w:rFonts w:ascii="Times New Roman" w:hAnsi="Times New Roman" w:cs="Times New Roman"/>
          <w:sz w:val="24"/>
        </w:rPr>
      </w:pPr>
      <w:r w:rsidRPr="00E469B0">
        <w:rPr>
          <w:rFonts w:ascii="Times New Roman" w:hAnsi="Times New Roman" w:cs="Times New Roman"/>
          <w:sz w:val="24"/>
        </w:rPr>
        <w:t xml:space="preserve">Childs, M. and Authers, J. (2016) </w:t>
      </w:r>
      <w:r w:rsidRPr="00E469B0">
        <w:rPr>
          <w:rFonts w:ascii="Times New Roman" w:hAnsi="Times New Roman" w:cs="Times New Roman"/>
          <w:i/>
          <w:iCs/>
          <w:sz w:val="24"/>
        </w:rPr>
        <w:t>Article: Canada quietly treads radical path on pensions</w:t>
      </w:r>
      <w:r w:rsidRPr="00E469B0">
        <w:rPr>
          <w:rFonts w:ascii="Times New Roman" w:hAnsi="Times New Roman" w:cs="Times New Roman"/>
          <w:sz w:val="24"/>
        </w:rPr>
        <w:t xml:space="preserve">. [online]. Available from: </w:t>
      </w:r>
      <w:hyperlink r:id="rId15" w:tgtFrame="_blank" w:history="1">
        <w:r w:rsidRPr="00E469B0">
          <w:rPr>
            <w:rStyle w:val="Hyperlink"/>
            <w:rFonts w:ascii="Times New Roman" w:hAnsi="Times New Roman" w:cs="Times New Roman"/>
            <w:sz w:val="24"/>
          </w:rPr>
          <w:t>https://www.otpp.com/en-ca/about-us/news-and-insights/2016/article-canada-quietly-treads-radical-path-on-pensions/</w:t>
        </w:r>
      </w:hyperlink>
      <w:r w:rsidRPr="00E469B0">
        <w:rPr>
          <w:rFonts w:ascii="Times New Roman" w:hAnsi="Times New Roman" w:cs="Times New Roman"/>
          <w:sz w:val="24"/>
        </w:rPr>
        <w:t xml:space="preserve"> [Accessed 14 March 2026].</w:t>
      </w:r>
    </w:p>
    <w:p w14:paraId="33333988" w14:textId="77777777" w:rsidR="00E469B0" w:rsidRPr="00E469B0" w:rsidRDefault="00E469B0" w:rsidP="00E27EF2">
      <w:pPr>
        <w:pStyle w:val="Bibliography"/>
        <w:jc w:val="both"/>
        <w:rPr>
          <w:rFonts w:ascii="Times New Roman" w:hAnsi="Times New Roman" w:cs="Times New Roman"/>
          <w:sz w:val="24"/>
        </w:rPr>
      </w:pPr>
      <w:r w:rsidRPr="00E469B0">
        <w:rPr>
          <w:rFonts w:ascii="Times New Roman" w:hAnsi="Times New Roman" w:cs="Times New Roman"/>
          <w:sz w:val="24"/>
        </w:rPr>
        <w:t xml:space="preserve">Grandoit, C., Vega, D. and Fang, Y. (2021) The role of alternative assets in pension portfolios, examined through risk factor analysis. </w:t>
      </w:r>
      <w:r w:rsidRPr="00E469B0">
        <w:rPr>
          <w:rFonts w:ascii="Times New Roman" w:hAnsi="Times New Roman" w:cs="Times New Roman"/>
          <w:i/>
          <w:iCs/>
          <w:sz w:val="24"/>
        </w:rPr>
        <w:t>Benefits and Pensions Monitor</w:t>
      </w:r>
      <w:r w:rsidRPr="00E469B0">
        <w:rPr>
          <w:rFonts w:ascii="Times New Roman" w:hAnsi="Times New Roman" w:cs="Times New Roman"/>
          <w:sz w:val="24"/>
        </w:rPr>
        <w:t xml:space="preserve"> [online]. pp. 22-24. Available from: </w:t>
      </w:r>
      <w:hyperlink r:id="rId16" w:tgtFrame="_blank" w:history="1">
        <w:r w:rsidRPr="00E469B0">
          <w:rPr>
            <w:rStyle w:val="Hyperlink"/>
            <w:rFonts w:ascii="Times New Roman" w:hAnsi="Times New Roman" w:cs="Times New Roman"/>
            <w:sz w:val="24"/>
          </w:rPr>
          <w:t>https://www.fieraprivatecredit.com/wp-content/uploads/headlines/266/the-role-of-private-alternative-assets-in-pension-portfolio-bpm-november-2021.pdf</w:t>
        </w:r>
      </w:hyperlink>
      <w:r w:rsidRPr="00E469B0">
        <w:rPr>
          <w:rFonts w:ascii="Times New Roman" w:hAnsi="Times New Roman" w:cs="Times New Roman"/>
          <w:sz w:val="24"/>
        </w:rPr>
        <w:t xml:space="preserve"> [Accessed 14 March 2026].</w:t>
      </w:r>
    </w:p>
    <w:p w14:paraId="4F32E0BC" w14:textId="77777777" w:rsidR="00E469B0" w:rsidRPr="00E469B0" w:rsidRDefault="00E469B0" w:rsidP="00E27EF2">
      <w:pPr>
        <w:pStyle w:val="Bibliography"/>
        <w:jc w:val="both"/>
        <w:rPr>
          <w:rFonts w:ascii="Times New Roman" w:hAnsi="Times New Roman" w:cs="Times New Roman"/>
          <w:sz w:val="24"/>
        </w:rPr>
      </w:pPr>
      <w:r w:rsidRPr="00E469B0">
        <w:rPr>
          <w:rFonts w:ascii="Times New Roman" w:hAnsi="Times New Roman" w:cs="Times New Roman"/>
          <w:sz w:val="24"/>
        </w:rPr>
        <w:t xml:space="preserve">Hurman, N. (2024) </w:t>
      </w:r>
      <w:r w:rsidRPr="00E469B0">
        <w:rPr>
          <w:rFonts w:ascii="Times New Roman" w:hAnsi="Times New Roman" w:cs="Times New Roman"/>
          <w:i/>
          <w:iCs/>
          <w:sz w:val="24"/>
        </w:rPr>
        <w:t>Pension scheme assets – a deep dive into alternatives</w:t>
      </w:r>
      <w:r w:rsidRPr="00E469B0">
        <w:rPr>
          <w:rFonts w:ascii="Times New Roman" w:hAnsi="Times New Roman" w:cs="Times New Roman"/>
          <w:sz w:val="24"/>
        </w:rPr>
        <w:t xml:space="preserve">. [online]. Pensions Policy Institute. Available from: </w:t>
      </w:r>
      <w:hyperlink r:id="rId17" w:tgtFrame="_blank" w:history="1">
        <w:r w:rsidRPr="00E469B0">
          <w:rPr>
            <w:rStyle w:val="Hyperlink"/>
            <w:rFonts w:ascii="Times New Roman" w:hAnsi="Times New Roman" w:cs="Times New Roman"/>
            <w:sz w:val="24"/>
          </w:rPr>
          <w:t>https://www.pensionspolicyinstitute.org.uk/media/ugen4wez/20240916-deep-dive-1.pdf</w:t>
        </w:r>
      </w:hyperlink>
      <w:r w:rsidRPr="00E469B0">
        <w:rPr>
          <w:rFonts w:ascii="Times New Roman" w:hAnsi="Times New Roman" w:cs="Times New Roman"/>
          <w:sz w:val="24"/>
        </w:rPr>
        <w:t xml:space="preserve"> [Accessed 13 March 2026].</w:t>
      </w:r>
    </w:p>
    <w:p w14:paraId="6DE46D54" w14:textId="77777777" w:rsidR="00E469B0" w:rsidRPr="00E469B0" w:rsidRDefault="00E469B0" w:rsidP="00E27EF2">
      <w:pPr>
        <w:pStyle w:val="Bibliography"/>
        <w:jc w:val="both"/>
        <w:rPr>
          <w:rFonts w:ascii="Times New Roman" w:hAnsi="Times New Roman" w:cs="Times New Roman"/>
          <w:sz w:val="24"/>
        </w:rPr>
      </w:pPr>
      <w:r w:rsidRPr="00E469B0">
        <w:rPr>
          <w:rFonts w:ascii="Times New Roman" w:hAnsi="Times New Roman" w:cs="Times New Roman"/>
          <w:sz w:val="24"/>
        </w:rPr>
        <w:t xml:space="preserve">Layne, R. (2025) </w:t>
      </w:r>
      <w:r w:rsidRPr="00E469B0">
        <w:rPr>
          <w:rFonts w:ascii="Times New Roman" w:hAnsi="Times New Roman" w:cs="Times New Roman"/>
          <w:i/>
          <w:iCs/>
          <w:sz w:val="24"/>
        </w:rPr>
        <w:t>Rethinking risk: Why pension funds are betting on alternative assets</w:t>
      </w:r>
      <w:r w:rsidRPr="00E469B0">
        <w:rPr>
          <w:rFonts w:ascii="Times New Roman" w:hAnsi="Times New Roman" w:cs="Times New Roman"/>
          <w:sz w:val="24"/>
        </w:rPr>
        <w:t xml:space="preserve">. [online]. Harvard Business School Working Knowledge. Available from: </w:t>
      </w:r>
      <w:hyperlink r:id="rId18" w:tgtFrame="_blank" w:history="1">
        <w:r w:rsidRPr="00E469B0">
          <w:rPr>
            <w:rStyle w:val="Hyperlink"/>
            <w:rFonts w:ascii="Times New Roman" w:hAnsi="Times New Roman" w:cs="Times New Roman"/>
            <w:sz w:val="24"/>
          </w:rPr>
          <w:t>https://www.library.hbs.edu/working-knowledge/rethinking-risk-why-pension-funds-are-betting-on-alternative-assets</w:t>
        </w:r>
      </w:hyperlink>
      <w:r w:rsidRPr="00E469B0">
        <w:rPr>
          <w:rFonts w:ascii="Times New Roman" w:hAnsi="Times New Roman" w:cs="Times New Roman"/>
          <w:sz w:val="24"/>
        </w:rPr>
        <w:t xml:space="preserve"> [Accessed 13 March 2026].</w:t>
      </w:r>
    </w:p>
    <w:p w14:paraId="6F4311F8" w14:textId="77777777" w:rsidR="00E469B0" w:rsidRPr="00E469B0" w:rsidRDefault="00E469B0" w:rsidP="00E27EF2">
      <w:pPr>
        <w:pStyle w:val="Bibliography"/>
        <w:jc w:val="both"/>
        <w:rPr>
          <w:rFonts w:ascii="Times New Roman" w:hAnsi="Times New Roman" w:cs="Times New Roman"/>
          <w:sz w:val="24"/>
        </w:rPr>
      </w:pPr>
      <w:r w:rsidRPr="00E469B0">
        <w:rPr>
          <w:rFonts w:ascii="Times New Roman" w:hAnsi="Times New Roman" w:cs="Times New Roman"/>
          <w:sz w:val="24"/>
        </w:rPr>
        <w:t xml:space="preserve">Nuveen (2025) </w:t>
      </w:r>
      <w:r w:rsidRPr="00E469B0">
        <w:rPr>
          <w:rFonts w:ascii="Times New Roman" w:hAnsi="Times New Roman" w:cs="Times New Roman"/>
          <w:i/>
          <w:iCs/>
          <w:sz w:val="24"/>
        </w:rPr>
        <w:t>Global infrastructure: Listed vs. private infrastructure: Why not both?</w:t>
      </w:r>
      <w:r w:rsidRPr="00E469B0">
        <w:rPr>
          <w:rFonts w:ascii="Times New Roman" w:hAnsi="Times New Roman" w:cs="Times New Roman"/>
          <w:sz w:val="24"/>
        </w:rPr>
        <w:t xml:space="preserve"> [online]. Available from: </w:t>
      </w:r>
      <w:hyperlink r:id="rId19" w:tgtFrame="_blank" w:history="1">
        <w:r w:rsidRPr="00E469B0">
          <w:rPr>
            <w:rStyle w:val="Hyperlink"/>
            <w:rFonts w:ascii="Times New Roman" w:hAnsi="Times New Roman" w:cs="Times New Roman"/>
            <w:sz w:val="24"/>
          </w:rPr>
          <w:t>https://documents.nuveen.com/Documents/Global/Default.aspx?uniqueid=b83ae20f-5425-4dc0-9679-904bc1ebc81c</w:t>
        </w:r>
      </w:hyperlink>
      <w:r w:rsidRPr="00E469B0">
        <w:rPr>
          <w:rFonts w:ascii="Times New Roman" w:hAnsi="Times New Roman" w:cs="Times New Roman"/>
          <w:sz w:val="24"/>
        </w:rPr>
        <w:t xml:space="preserve"> [Accessed 15 March 2026].</w:t>
      </w:r>
    </w:p>
    <w:p w14:paraId="7B154B01" w14:textId="77777777" w:rsidR="00E469B0" w:rsidRPr="00E469B0" w:rsidRDefault="00E469B0" w:rsidP="00E27EF2">
      <w:pPr>
        <w:pStyle w:val="Bibliography"/>
        <w:jc w:val="both"/>
        <w:rPr>
          <w:rFonts w:ascii="Times New Roman" w:hAnsi="Times New Roman" w:cs="Times New Roman"/>
          <w:sz w:val="24"/>
        </w:rPr>
      </w:pPr>
      <w:r w:rsidRPr="00E469B0">
        <w:rPr>
          <w:rFonts w:ascii="Times New Roman" w:hAnsi="Times New Roman" w:cs="Times New Roman"/>
          <w:sz w:val="24"/>
        </w:rPr>
        <w:t xml:space="preserve">Roethler, E. (2023) </w:t>
      </w:r>
      <w:r w:rsidRPr="00E469B0">
        <w:rPr>
          <w:rFonts w:ascii="Times New Roman" w:hAnsi="Times New Roman" w:cs="Times New Roman"/>
          <w:i/>
          <w:iCs/>
          <w:sz w:val="24"/>
        </w:rPr>
        <w:t>Alternative investments: A portfolio diversification strategy</w:t>
      </w:r>
      <w:r w:rsidRPr="00E469B0">
        <w:rPr>
          <w:rFonts w:ascii="Times New Roman" w:hAnsi="Times New Roman" w:cs="Times New Roman"/>
          <w:sz w:val="24"/>
        </w:rPr>
        <w:t xml:space="preserve">. [online]. Inspira Financial. Available from: </w:t>
      </w:r>
      <w:hyperlink r:id="rId20" w:tgtFrame="_blank" w:history="1">
        <w:r w:rsidRPr="00E469B0">
          <w:rPr>
            <w:rStyle w:val="Hyperlink"/>
            <w:rFonts w:ascii="Times New Roman" w:hAnsi="Times New Roman" w:cs="Times New Roman"/>
            <w:sz w:val="24"/>
          </w:rPr>
          <w:t>https://inspirafinancial.com/individual/resources-education/retirement-wealth/alternative-investments-diversification-strategy</w:t>
        </w:r>
      </w:hyperlink>
      <w:r w:rsidRPr="00E469B0">
        <w:rPr>
          <w:rFonts w:ascii="Times New Roman" w:hAnsi="Times New Roman" w:cs="Times New Roman"/>
          <w:sz w:val="24"/>
        </w:rPr>
        <w:t xml:space="preserve"> [Accessed 14 March 2026].</w:t>
      </w:r>
    </w:p>
    <w:p w14:paraId="7AEB6590" w14:textId="77777777" w:rsidR="00E469B0" w:rsidRPr="00E469B0" w:rsidRDefault="00E469B0" w:rsidP="00E27EF2">
      <w:pPr>
        <w:pStyle w:val="Bibliography"/>
        <w:jc w:val="both"/>
        <w:rPr>
          <w:rFonts w:ascii="Times New Roman" w:hAnsi="Times New Roman" w:cs="Times New Roman"/>
          <w:sz w:val="24"/>
        </w:rPr>
      </w:pPr>
      <w:r w:rsidRPr="00E469B0">
        <w:rPr>
          <w:rFonts w:ascii="Times New Roman" w:hAnsi="Times New Roman" w:cs="Times New Roman"/>
          <w:sz w:val="24"/>
        </w:rPr>
        <w:t xml:space="preserve">Rundell, S. (2017) </w:t>
      </w:r>
      <w:r w:rsidRPr="00E469B0">
        <w:rPr>
          <w:rFonts w:ascii="Times New Roman" w:hAnsi="Times New Roman" w:cs="Times New Roman"/>
          <w:i/>
          <w:iCs/>
          <w:sz w:val="24"/>
        </w:rPr>
        <w:t>Inside Canada’s exemplary pensions</w:t>
      </w:r>
      <w:r w:rsidRPr="00E469B0">
        <w:rPr>
          <w:rFonts w:ascii="Times New Roman" w:hAnsi="Times New Roman" w:cs="Times New Roman"/>
          <w:sz w:val="24"/>
        </w:rPr>
        <w:t xml:space="preserve">. [online]. Top1000funds.com. Available from: </w:t>
      </w:r>
      <w:hyperlink r:id="rId21" w:tgtFrame="_blank" w:history="1">
        <w:r w:rsidRPr="00E469B0">
          <w:rPr>
            <w:rStyle w:val="Hyperlink"/>
            <w:rFonts w:ascii="Times New Roman" w:hAnsi="Times New Roman" w:cs="Times New Roman"/>
            <w:sz w:val="24"/>
          </w:rPr>
          <w:t>https://www.top1000funds.com/2017/12/canadians-model-for-emerging-economies/</w:t>
        </w:r>
      </w:hyperlink>
      <w:r w:rsidRPr="00E469B0">
        <w:rPr>
          <w:rFonts w:ascii="Times New Roman" w:hAnsi="Times New Roman" w:cs="Times New Roman"/>
          <w:sz w:val="24"/>
        </w:rPr>
        <w:t xml:space="preserve"> [Accessed 14 March 2026].</w:t>
      </w:r>
    </w:p>
    <w:p w14:paraId="33A43D6C" w14:textId="77777777" w:rsidR="00E469B0" w:rsidRPr="00E469B0" w:rsidRDefault="00E469B0" w:rsidP="00E27EF2">
      <w:pPr>
        <w:pStyle w:val="Bibliography"/>
        <w:jc w:val="both"/>
        <w:rPr>
          <w:rFonts w:ascii="Times New Roman" w:hAnsi="Times New Roman" w:cs="Times New Roman"/>
          <w:sz w:val="24"/>
        </w:rPr>
      </w:pPr>
      <w:r w:rsidRPr="00E469B0">
        <w:rPr>
          <w:rFonts w:ascii="Times New Roman" w:hAnsi="Times New Roman" w:cs="Times New Roman"/>
          <w:sz w:val="24"/>
        </w:rPr>
        <w:lastRenderedPageBreak/>
        <w:t xml:space="preserve">Rundell, S. (2024) </w:t>
      </w:r>
      <w:r w:rsidRPr="00E469B0">
        <w:rPr>
          <w:rFonts w:ascii="Times New Roman" w:hAnsi="Times New Roman" w:cs="Times New Roman"/>
          <w:i/>
          <w:iCs/>
          <w:sz w:val="24"/>
        </w:rPr>
        <w:t>USS swings into surplus but flags re-think after Thames losses</w:t>
      </w:r>
      <w:r w:rsidRPr="00E469B0">
        <w:rPr>
          <w:rFonts w:ascii="Times New Roman" w:hAnsi="Times New Roman" w:cs="Times New Roman"/>
          <w:sz w:val="24"/>
        </w:rPr>
        <w:t xml:space="preserve">. [online]. Top1000funds.com. Available from: </w:t>
      </w:r>
      <w:hyperlink r:id="rId22" w:tgtFrame="_blank" w:history="1">
        <w:r w:rsidRPr="00E469B0">
          <w:rPr>
            <w:rStyle w:val="Hyperlink"/>
            <w:rFonts w:ascii="Times New Roman" w:hAnsi="Times New Roman" w:cs="Times New Roman"/>
            <w:sz w:val="24"/>
          </w:rPr>
          <w:t>https://www.top1000funds.com/2024/08/uss-swings-into-surplus-but-flags-re-think-after-thames-losses/</w:t>
        </w:r>
      </w:hyperlink>
      <w:r w:rsidRPr="00E469B0">
        <w:rPr>
          <w:rFonts w:ascii="Times New Roman" w:hAnsi="Times New Roman" w:cs="Times New Roman"/>
          <w:sz w:val="24"/>
        </w:rPr>
        <w:t xml:space="preserve"> [Accessed 15 March 2026].</w:t>
      </w:r>
    </w:p>
    <w:p w14:paraId="3ED538AB" w14:textId="77777777" w:rsidR="00E469B0" w:rsidRPr="00E469B0" w:rsidRDefault="00E469B0" w:rsidP="00E27EF2">
      <w:pPr>
        <w:pStyle w:val="Bibliography"/>
        <w:jc w:val="both"/>
        <w:rPr>
          <w:rFonts w:ascii="Times New Roman" w:hAnsi="Times New Roman" w:cs="Times New Roman"/>
          <w:sz w:val="24"/>
        </w:rPr>
      </w:pPr>
      <w:r w:rsidRPr="00E469B0">
        <w:rPr>
          <w:rFonts w:ascii="Times New Roman" w:hAnsi="Times New Roman" w:cs="Times New Roman"/>
          <w:sz w:val="24"/>
        </w:rPr>
        <w:t xml:space="preserve">Swedroe, L. (2025) </w:t>
      </w:r>
      <w:r w:rsidRPr="00E469B0">
        <w:rPr>
          <w:rFonts w:ascii="Times New Roman" w:hAnsi="Times New Roman" w:cs="Times New Roman"/>
          <w:i/>
          <w:iCs/>
          <w:sz w:val="24"/>
        </w:rPr>
        <w:t>How private equity funds understate the risk in their investments</w:t>
      </w:r>
      <w:r w:rsidRPr="00E469B0">
        <w:rPr>
          <w:rFonts w:ascii="Times New Roman" w:hAnsi="Times New Roman" w:cs="Times New Roman"/>
          <w:sz w:val="24"/>
        </w:rPr>
        <w:t xml:space="preserve">. [online]. Morningstar, Inc. Available from: </w:t>
      </w:r>
      <w:hyperlink r:id="rId23" w:tgtFrame="_blank" w:history="1">
        <w:r w:rsidRPr="00E469B0">
          <w:rPr>
            <w:rStyle w:val="Hyperlink"/>
            <w:rFonts w:ascii="Times New Roman" w:hAnsi="Times New Roman" w:cs="Times New Roman"/>
            <w:sz w:val="24"/>
          </w:rPr>
          <w:t>https://www.morningstar.com/alternative-investments/how-private-equity-funds-understate-risk-their-investments</w:t>
        </w:r>
      </w:hyperlink>
      <w:r w:rsidRPr="00E469B0">
        <w:rPr>
          <w:rFonts w:ascii="Times New Roman" w:hAnsi="Times New Roman" w:cs="Times New Roman"/>
          <w:sz w:val="24"/>
        </w:rPr>
        <w:t xml:space="preserve"> [Accessed 15 March 2026].</w:t>
      </w:r>
    </w:p>
    <w:p w14:paraId="48671775" w14:textId="14EBC932" w:rsidR="00193A68" w:rsidRPr="00193A68" w:rsidRDefault="00193A68" w:rsidP="00E27EF2">
      <w:pPr>
        <w:pStyle w:val="Bibliography"/>
        <w:jc w:val="both"/>
        <w:rPr>
          <w:rFonts w:ascii="Times New Roman" w:hAnsi="Times New Roman" w:cs="Times New Roman"/>
          <w:sz w:val="24"/>
        </w:rPr>
      </w:pPr>
    </w:p>
    <w:p w14:paraId="0E7767AA" w14:textId="764AD3A4" w:rsidR="0005122F" w:rsidRDefault="0030257E" w:rsidP="00E27EF2">
      <w:pPr>
        <w:spacing w:line="240" w:lineRule="auto"/>
        <w:jc w:val="both"/>
        <w:rPr>
          <w:rFonts w:ascii="Times New Roman" w:hAnsi="Times New Roman" w:cs="Times New Roman"/>
          <w:sz w:val="24"/>
          <w:szCs w:val="24"/>
        </w:rPr>
      </w:pPr>
      <w:r>
        <w:rPr>
          <w:rFonts w:ascii="Times New Roman" w:hAnsi="Times New Roman" w:cs="Times New Roman"/>
          <w:sz w:val="24"/>
          <w:szCs w:val="24"/>
        </w:rPr>
        <w:fldChar w:fldCharType="end"/>
      </w:r>
    </w:p>
    <w:p w14:paraId="1C098857" w14:textId="4C5FCE5B" w:rsidR="00D256EF" w:rsidRPr="006C06AD" w:rsidRDefault="00D256EF" w:rsidP="00E27EF2">
      <w:pPr>
        <w:spacing w:line="240" w:lineRule="auto"/>
        <w:jc w:val="both"/>
        <w:rPr>
          <w:rFonts w:ascii="Times New Roman" w:hAnsi="Times New Roman" w:cs="Times New Roman"/>
          <w:sz w:val="24"/>
          <w:szCs w:val="24"/>
        </w:rPr>
      </w:pPr>
    </w:p>
    <w:sectPr w:rsidR="00D256EF" w:rsidRPr="006C06AD" w:rsidSect="003144F9">
      <w:pgSz w:w="11906" w:h="16838" w:code="9"/>
      <w:pgMar w:top="1440" w:right="1077" w:bottom="1440"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DB10A" w14:textId="77777777" w:rsidR="00A96DD3" w:rsidRDefault="00A96DD3" w:rsidP="003B74FD">
      <w:pPr>
        <w:spacing w:after="0" w:line="240" w:lineRule="auto"/>
      </w:pPr>
      <w:r>
        <w:separator/>
      </w:r>
    </w:p>
  </w:endnote>
  <w:endnote w:type="continuationSeparator" w:id="0">
    <w:p w14:paraId="19BC3537" w14:textId="77777777" w:rsidR="00A96DD3" w:rsidRDefault="00A96DD3" w:rsidP="003B74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CABB7" w14:textId="77777777" w:rsidR="00A96DD3" w:rsidRDefault="00A96DD3" w:rsidP="003B74FD">
      <w:pPr>
        <w:spacing w:after="0" w:line="240" w:lineRule="auto"/>
      </w:pPr>
      <w:r>
        <w:separator/>
      </w:r>
    </w:p>
  </w:footnote>
  <w:footnote w:type="continuationSeparator" w:id="0">
    <w:p w14:paraId="61E882C7" w14:textId="77777777" w:rsidR="00A96DD3" w:rsidRDefault="00A96DD3" w:rsidP="003B74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16EE2"/>
    <w:multiLevelType w:val="multilevel"/>
    <w:tmpl w:val="5EC62980"/>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2644A64"/>
    <w:multiLevelType w:val="hybridMultilevel"/>
    <w:tmpl w:val="4C026BF2"/>
    <w:lvl w:ilvl="0" w:tplc="08090001">
      <w:start w:val="1"/>
      <w:numFmt w:val="bullet"/>
      <w:lvlText w:val=""/>
      <w:lvlJc w:val="left"/>
      <w:pPr>
        <w:ind w:left="764" w:hanging="360"/>
      </w:pPr>
      <w:rPr>
        <w:rFonts w:ascii="Symbol" w:hAnsi="Symbol" w:hint="default"/>
      </w:rPr>
    </w:lvl>
    <w:lvl w:ilvl="1" w:tplc="08090003">
      <w:start w:val="1"/>
      <w:numFmt w:val="bullet"/>
      <w:lvlText w:val="o"/>
      <w:lvlJc w:val="left"/>
      <w:pPr>
        <w:ind w:left="1484" w:hanging="360"/>
      </w:pPr>
      <w:rPr>
        <w:rFonts w:ascii="Courier New" w:hAnsi="Courier New" w:cs="Courier New" w:hint="default"/>
      </w:rPr>
    </w:lvl>
    <w:lvl w:ilvl="2" w:tplc="08090005" w:tentative="1">
      <w:start w:val="1"/>
      <w:numFmt w:val="bullet"/>
      <w:lvlText w:val=""/>
      <w:lvlJc w:val="left"/>
      <w:pPr>
        <w:ind w:left="2204" w:hanging="360"/>
      </w:pPr>
      <w:rPr>
        <w:rFonts w:ascii="Wingdings" w:hAnsi="Wingdings" w:hint="default"/>
      </w:rPr>
    </w:lvl>
    <w:lvl w:ilvl="3" w:tplc="08090001" w:tentative="1">
      <w:start w:val="1"/>
      <w:numFmt w:val="bullet"/>
      <w:lvlText w:val=""/>
      <w:lvlJc w:val="left"/>
      <w:pPr>
        <w:ind w:left="2924" w:hanging="360"/>
      </w:pPr>
      <w:rPr>
        <w:rFonts w:ascii="Symbol" w:hAnsi="Symbol" w:hint="default"/>
      </w:rPr>
    </w:lvl>
    <w:lvl w:ilvl="4" w:tplc="08090003" w:tentative="1">
      <w:start w:val="1"/>
      <w:numFmt w:val="bullet"/>
      <w:lvlText w:val="o"/>
      <w:lvlJc w:val="left"/>
      <w:pPr>
        <w:ind w:left="3644" w:hanging="360"/>
      </w:pPr>
      <w:rPr>
        <w:rFonts w:ascii="Courier New" w:hAnsi="Courier New" w:cs="Courier New" w:hint="default"/>
      </w:rPr>
    </w:lvl>
    <w:lvl w:ilvl="5" w:tplc="08090005" w:tentative="1">
      <w:start w:val="1"/>
      <w:numFmt w:val="bullet"/>
      <w:lvlText w:val=""/>
      <w:lvlJc w:val="left"/>
      <w:pPr>
        <w:ind w:left="4364" w:hanging="360"/>
      </w:pPr>
      <w:rPr>
        <w:rFonts w:ascii="Wingdings" w:hAnsi="Wingdings" w:hint="default"/>
      </w:rPr>
    </w:lvl>
    <w:lvl w:ilvl="6" w:tplc="08090001" w:tentative="1">
      <w:start w:val="1"/>
      <w:numFmt w:val="bullet"/>
      <w:lvlText w:val=""/>
      <w:lvlJc w:val="left"/>
      <w:pPr>
        <w:ind w:left="5084" w:hanging="360"/>
      </w:pPr>
      <w:rPr>
        <w:rFonts w:ascii="Symbol" w:hAnsi="Symbol" w:hint="default"/>
      </w:rPr>
    </w:lvl>
    <w:lvl w:ilvl="7" w:tplc="08090003" w:tentative="1">
      <w:start w:val="1"/>
      <w:numFmt w:val="bullet"/>
      <w:lvlText w:val="o"/>
      <w:lvlJc w:val="left"/>
      <w:pPr>
        <w:ind w:left="5804" w:hanging="360"/>
      </w:pPr>
      <w:rPr>
        <w:rFonts w:ascii="Courier New" w:hAnsi="Courier New" w:cs="Courier New" w:hint="default"/>
      </w:rPr>
    </w:lvl>
    <w:lvl w:ilvl="8" w:tplc="08090005" w:tentative="1">
      <w:start w:val="1"/>
      <w:numFmt w:val="bullet"/>
      <w:lvlText w:val=""/>
      <w:lvlJc w:val="left"/>
      <w:pPr>
        <w:ind w:left="6524" w:hanging="360"/>
      </w:pPr>
      <w:rPr>
        <w:rFonts w:ascii="Wingdings" w:hAnsi="Wingdings" w:hint="default"/>
      </w:rPr>
    </w:lvl>
  </w:abstractNum>
  <w:abstractNum w:abstractNumId="2" w15:restartNumberingAfterBreak="0">
    <w:nsid w:val="61E026A1"/>
    <w:multiLevelType w:val="hybridMultilevel"/>
    <w:tmpl w:val="CAD25316"/>
    <w:lvl w:ilvl="0" w:tplc="114E5FD8">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488018">
    <w:abstractNumId w:val="2"/>
  </w:num>
  <w:num w:numId="2" w16cid:durableId="999191839">
    <w:abstractNumId w:val="0"/>
  </w:num>
  <w:num w:numId="3" w16cid:durableId="1214469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6AD"/>
    <w:rsid w:val="000103C3"/>
    <w:rsid w:val="0005122F"/>
    <w:rsid w:val="00053EF0"/>
    <w:rsid w:val="000B0E11"/>
    <w:rsid w:val="000C0B0A"/>
    <w:rsid w:val="000C341B"/>
    <w:rsid w:val="000E6EB1"/>
    <w:rsid w:val="00193A68"/>
    <w:rsid w:val="001B69F7"/>
    <w:rsid w:val="00271CCF"/>
    <w:rsid w:val="002A0A26"/>
    <w:rsid w:val="002F1229"/>
    <w:rsid w:val="0030257E"/>
    <w:rsid w:val="003144F9"/>
    <w:rsid w:val="00330223"/>
    <w:rsid w:val="0033793F"/>
    <w:rsid w:val="00363777"/>
    <w:rsid w:val="003703F4"/>
    <w:rsid w:val="003B74FD"/>
    <w:rsid w:val="003E27A0"/>
    <w:rsid w:val="0041031D"/>
    <w:rsid w:val="004C08F0"/>
    <w:rsid w:val="004F2846"/>
    <w:rsid w:val="005054B7"/>
    <w:rsid w:val="00531696"/>
    <w:rsid w:val="006B0795"/>
    <w:rsid w:val="006C06AD"/>
    <w:rsid w:val="006E2EC8"/>
    <w:rsid w:val="00704BC1"/>
    <w:rsid w:val="007921F3"/>
    <w:rsid w:val="007945FA"/>
    <w:rsid w:val="007D709B"/>
    <w:rsid w:val="00890748"/>
    <w:rsid w:val="008E00F5"/>
    <w:rsid w:val="008E1628"/>
    <w:rsid w:val="009E7816"/>
    <w:rsid w:val="009F7E0D"/>
    <w:rsid w:val="009F7E12"/>
    <w:rsid w:val="00A26E18"/>
    <w:rsid w:val="00A96DD3"/>
    <w:rsid w:val="00AC4543"/>
    <w:rsid w:val="00AE4911"/>
    <w:rsid w:val="00AE59A7"/>
    <w:rsid w:val="00B073E7"/>
    <w:rsid w:val="00B07F9F"/>
    <w:rsid w:val="00B33317"/>
    <w:rsid w:val="00B915C3"/>
    <w:rsid w:val="00C07AD9"/>
    <w:rsid w:val="00C51458"/>
    <w:rsid w:val="00C84EB6"/>
    <w:rsid w:val="00CB4AA3"/>
    <w:rsid w:val="00D1003F"/>
    <w:rsid w:val="00D256EF"/>
    <w:rsid w:val="00D83D70"/>
    <w:rsid w:val="00D93E9B"/>
    <w:rsid w:val="00DA2810"/>
    <w:rsid w:val="00DD0A50"/>
    <w:rsid w:val="00DF5853"/>
    <w:rsid w:val="00E20249"/>
    <w:rsid w:val="00E27EF2"/>
    <w:rsid w:val="00E469B0"/>
    <w:rsid w:val="00EC6BB6"/>
    <w:rsid w:val="00F31BD6"/>
    <w:rsid w:val="00F43364"/>
    <w:rsid w:val="00F67694"/>
    <w:rsid w:val="00FC1F7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33939"/>
  <w15:chartTrackingRefBased/>
  <w15:docId w15:val="{52BA4AD8-0757-4E9C-A6D6-FA16E17A4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795"/>
  </w:style>
  <w:style w:type="paragraph" w:styleId="Heading1">
    <w:name w:val="heading 1"/>
    <w:basedOn w:val="Normal"/>
    <w:next w:val="Normal"/>
    <w:link w:val="Heading1Char"/>
    <w:autoRedefine/>
    <w:uiPriority w:val="9"/>
    <w:qFormat/>
    <w:rsid w:val="0033793F"/>
    <w:pPr>
      <w:keepNext/>
      <w:keepLines/>
      <w:numPr>
        <w:numId w:val="2"/>
      </w:numPr>
      <w:spacing w:before="360" w:after="80"/>
      <w:ind w:hanging="360"/>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semiHidden/>
    <w:unhideWhenUsed/>
    <w:qFormat/>
    <w:rsid w:val="006C06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06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06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06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06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6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6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6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93F"/>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semiHidden/>
    <w:rsid w:val="006C06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06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06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06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06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6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6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6AD"/>
    <w:rPr>
      <w:rFonts w:eastAsiaTheme="majorEastAsia" w:cstheme="majorBidi"/>
      <w:color w:val="272727" w:themeColor="text1" w:themeTint="D8"/>
    </w:rPr>
  </w:style>
  <w:style w:type="paragraph" w:styleId="Title">
    <w:name w:val="Title"/>
    <w:basedOn w:val="Normal"/>
    <w:next w:val="Normal"/>
    <w:link w:val="TitleChar"/>
    <w:uiPriority w:val="10"/>
    <w:qFormat/>
    <w:rsid w:val="006C06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6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6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6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6AD"/>
    <w:pPr>
      <w:spacing w:before="160"/>
      <w:jc w:val="center"/>
    </w:pPr>
    <w:rPr>
      <w:i/>
      <w:iCs/>
      <w:color w:val="404040" w:themeColor="text1" w:themeTint="BF"/>
    </w:rPr>
  </w:style>
  <w:style w:type="character" w:customStyle="1" w:styleId="QuoteChar">
    <w:name w:val="Quote Char"/>
    <w:basedOn w:val="DefaultParagraphFont"/>
    <w:link w:val="Quote"/>
    <w:uiPriority w:val="29"/>
    <w:rsid w:val="006C06AD"/>
    <w:rPr>
      <w:i/>
      <w:iCs/>
      <w:color w:val="404040" w:themeColor="text1" w:themeTint="BF"/>
    </w:rPr>
  </w:style>
  <w:style w:type="paragraph" w:styleId="ListParagraph">
    <w:name w:val="List Paragraph"/>
    <w:basedOn w:val="Normal"/>
    <w:uiPriority w:val="34"/>
    <w:qFormat/>
    <w:rsid w:val="006C06AD"/>
    <w:pPr>
      <w:ind w:left="720"/>
      <w:contextualSpacing/>
    </w:pPr>
  </w:style>
  <w:style w:type="character" w:styleId="IntenseEmphasis">
    <w:name w:val="Intense Emphasis"/>
    <w:basedOn w:val="DefaultParagraphFont"/>
    <w:uiPriority w:val="21"/>
    <w:qFormat/>
    <w:rsid w:val="006C06AD"/>
    <w:rPr>
      <w:i/>
      <w:iCs/>
      <w:color w:val="2F5496" w:themeColor="accent1" w:themeShade="BF"/>
    </w:rPr>
  </w:style>
  <w:style w:type="paragraph" w:styleId="IntenseQuote">
    <w:name w:val="Intense Quote"/>
    <w:basedOn w:val="Normal"/>
    <w:next w:val="Normal"/>
    <w:link w:val="IntenseQuoteChar"/>
    <w:uiPriority w:val="30"/>
    <w:qFormat/>
    <w:rsid w:val="006C06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06AD"/>
    <w:rPr>
      <w:i/>
      <w:iCs/>
      <w:color w:val="2F5496" w:themeColor="accent1" w:themeShade="BF"/>
    </w:rPr>
  </w:style>
  <w:style w:type="character" w:styleId="IntenseReference">
    <w:name w:val="Intense Reference"/>
    <w:basedOn w:val="DefaultParagraphFont"/>
    <w:uiPriority w:val="32"/>
    <w:qFormat/>
    <w:rsid w:val="006C06AD"/>
    <w:rPr>
      <w:b/>
      <w:bCs/>
      <w:smallCaps/>
      <w:color w:val="2F5496" w:themeColor="accent1" w:themeShade="BF"/>
      <w:spacing w:val="5"/>
    </w:rPr>
  </w:style>
  <w:style w:type="paragraph" w:styleId="Bibliography">
    <w:name w:val="Bibliography"/>
    <w:basedOn w:val="Normal"/>
    <w:next w:val="Normal"/>
    <w:uiPriority w:val="37"/>
    <w:unhideWhenUsed/>
    <w:rsid w:val="0030257E"/>
    <w:pPr>
      <w:spacing w:after="240" w:line="240" w:lineRule="auto"/>
    </w:pPr>
  </w:style>
  <w:style w:type="paragraph" w:styleId="Header">
    <w:name w:val="header"/>
    <w:basedOn w:val="Normal"/>
    <w:link w:val="HeaderChar"/>
    <w:uiPriority w:val="99"/>
    <w:unhideWhenUsed/>
    <w:rsid w:val="003B74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74FD"/>
  </w:style>
  <w:style w:type="paragraph" w:styleId="Footer">
    <w:name w:val="footer"/>
    <w:basedOn w:val="Normal"/>
    <w:link w:val="FooterChar"/>
    <w:uiPriority w:val="99"/>
    <w:unhideWhenUsed/>
    <w:rsid w:val="003B74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74FD"/>
  </w:style>
  <w:style w:type="character" w:styleId="Hyperlink">
    <w:name w:val="Hyperlink"/>
    <w:basedOn w:val="DefaultParagraphFont"/>
    <w:uiPriority w:val="99"/>
    <w:unhideWhenUsed/>
    <w:rsid w:val="0005122F"/>
    <w:rPr>
      <w:color w:val="0563C1" w:themeColor="hyperlink"/>
      <w:u w:val="single"/>
    </w:rPr>
  </w:style>
  <w:style w:type="character" w:styleId="UnresolvedMention">
    <w:name w:val="Unresolved Mention"/>
    <w:basedOn w:val="DefaultParagraphFont"/>
    <w:uiPriority w:val="99"/>
    <w:semiHidden/>
    <w:unhideWhenUsed/>
    <w:rsid w:val="0005122F"/>
    <w:rPr>
      <w:color w:val="605E5C"/>
      <w:shd w:val="clear" w:color="auto" w:fill="E1DFDD"/>
    </w:rPr>
  </w:style>
  <w:style w:type="character" w:styleId="FollowedHyperlink">
    <w:name w:val="FollowedHyperlink"/>
    <w:basedOn w:val="DefaultParagraphFont"/>
    <w:uiPriority w:val="99"/>
    <w:semiHidden/>
    <w:unhideWhenUsed/>
    <w:rsid w:val="006B079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rammarly.com" TargetMode="External"/><Relationship Id="rId13" Type="http://schemas.openxmlformats.org/officeDocument/2006/relationships/hyperlink" Target="https://crr.bc.edu/wp-content/uploads/2024/06/IB_24-13-1.pdf" TargetMode="External"/><Relationship Id="rId18" Type="http://schemas.openxmlformats.org/officeDocument/2006/relationships/hyperlink" Target="https://www.library.hbs.edu/working-knowledge/rethinking-risk-why-pension-funds-are-betting-on-alternative-assets" TargetMode="External"/><Relationship Id="rId3" Type="http://schemas.openxmlformats.org/officeDocument/2006/relationships/styles" Target="styles.xml"/><Relationship Id="rId21" Type="http://schemas.openxmlformats.org/officeDocument/2006/relationships/hyperlink" Target="https://www.top1000funds.com/2017/12/canadians-model-for-emerging-economies/" TargetMode="External"/><Relationship Id="rId7" Type="http://schemas.openxmlformats.org/officeDocument/2006/relationships/endnotes" Target="endnotes.xml"/><Relationship Id="rId12" Type="http://schemas.openxmlformats.org/officeDocument/2006/relationships/hyperlink" Target="https://cepr.net/publications/private-equity-in-the-doldrums-and-out-of-favor/" TargetMode="External"/><Relationship Id="rId17" Type="http://schemas.openxmlformats.org/officeDocument/2006/relationships/hyperlink" Target="https://www.pensionspolicyinstitute.org.uk/media/ugen4wez/20240916-deep-dive-1.pdf"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fieraprivatecredit.com/wp-content/uploads/headlines/266/the-role-of-private-alternative-assets-in-pension-portfolio-bpm-november-2021.pdf" TargetMode="External"/><Relationship Id="rId20" Type="http://schemas.openxmlformats.org/officeDocument/2006/relationships/hyperlink" Target="https://inspirafinancial.com/individual/resources-education/retirement-wealth/alternative-investments-diversification-strateg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nvestmentcouncil.org/wp-content/uploads/2025/07/AIC-2025-Pensions-Report.pdf"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otpp.com/en-ca/about-us/news-and-insights/2016/article-canada-quietly-treads-radical-path-on-pensions/" TargetMode="External"/><Relationship Id="rId23" Type="http://schemas.openxmlformats.org/officeDocument/2006/relationships/hyperlink" Target="https://www.morningstar.com/alternative-investments/how-private-equity-funds-understate-risk-their-investments" TargetMode="External"/><Relationship Id="rId10" Type="http://schemas.openxmlformats.org/officeDocument/2006/relationships/hyperlink" Target="https://www.investmentcouncil.org/wp-content/uploads/2024/07/2024-AIC-Pensions-Report_final.pdf" TargetMode="External"/><Relationship Id="rId19" Type="http://schemas.openxmlformats.org/officeDocument/2006/relationships/hyperlink" Target="https://documents.nuveen.com/Documents/Global/Default.aspx?uniqueid=b83ae20f-5425-4dc0-9679-904bc1ebc81c" TargetMode="External"/><Relationship Id="rId4" Type="http://schemas.openxmlformats.org/officeDocument/2006/relationships/settings" Target="settings.xml"/><Relationship Id="rId9" Type="http://schemas.openxmlformats.org/officeDocument/2006/relationships/hyperlink" Target="https://gemini.google.com/app" TargetMode="External"/><Relationship Id="rId14" Type="http://schemas.openxmlformats.org/officeDocument/2006/relationships/hyperlink" Target="https://www.cbh.com/insights/reports/u.s.-alternative-investment-industry-report-2025" TargetMode="External"/><Relationship Id="rId22" Type="http://schemas.openxmlformats.org/officeDocument/2006/relationships/hyperlink" Target="https://www.top1000funds.com/2024/08/uss-swings-into-surplus-but-flags-re-think-after-thames-los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4654175-44F5-4949-99F8-1672602B226F}">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F502DF-C0CE-47E0-B7C0-3701DCE473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613</TotalTime>
  <Pages>6</Pages>
  <Words>3766</Words>
  <Characters>21472</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Binh Nguyen</dc:creator>
  <cp:keywords/>
  <dc:description/>
  <cp:lastModifiedBy>Binh Nguyen</cp:lastModifiedBy>
  <cp:revision>16</cp:revision>
  <dcterms:created xsi:type="dcterms:W3CDTF">2026-03-13T03:11:00Z</dcterms:created>
  <dcterms:modified xsi:type="dcterms:W3CDTF">2026-05-11T06:54:00Z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213e44c1-a10d-4123-8915-d31385df8616</vt:lpwstr>
  </property>
  <property fmtid="{D5CDD505-2E9C-101B-9397-08002B2CF9AE}" pid="3" name="ZOTERO_PREF_1">
    <vt:lpwstr>&lt;data data-version="3" zotero-version="7.0.32"&gt;&lt;session id="r7d242um"/&gt;&lt;style id="http://www.zotero.org/styles/harvard-cite-them-right" locale="en-GB" hasBibliography="1" bibliographyStyleHasBeenSet="1"/&gt;&lt;prefs&gt;&lt;pref name="fieldType" value="Field"/&gt;&lt;pref </vt:lpwstr>
  </property>
  <property fmtid="{D5CDD505-2E9C-101B-9397-08002B2CF9AE}" pid="4" name="ZOTERO_PREF_2">
    <vt:lpwstr>name="automaticJournalAbbreviations" value="true"/&gt;&lt;/prefs&gt;&lt;/data&gt;</vt:lpwstr>
  </property>
  <property fmtid="{D5CDD505-2E9C-101B-9397-08002B2CF9AE}" pid="5" name="TII_WORD_DOCUMENT_FILENAME">
    <vt:lpwstr>F:\Đóc-cu-mừn\University-Documents-IBD-NEU\FIM\40%\25062677_FIM_A1.docx</vt:lpwstr>
  </property>
  <property fmtid="{D5CDD505-2E9C-101B-9397-08002B2CF9AE}" pid="6" name="TII_WORD_DOCUMENT_ID">
    <vt:lpwstr>a5c62514-46d7-4749-8b49-f6de56a1e62c</vt:lpwstr>
  </property>
</Properties>
</file>