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805D3" w14:textId="30B96E97" w:rsidR="004F2C62" w:rsidRPr="004F2C62" w:rsidRDefault="004F2C62" w:rsidP="002110BE">
      <w:pPr>
        <w:jc w:val="both"/>
        <w:rPr>
          <w:rFonts w:ascii="Times New Roman" w:hAnsi="Times New Roman" w:cs="Times New Roman"/>
          <w:sz w:val="24"/>
          <w:szCs w:val="24"/>
        </w:rPr>
      </w:pPr>
      <w:r w:rsidRPr="004F2C62">
        <w:rPr>
          <w:rFonts w:ascii="Times New Roman" w:hAnsi="Times New Roman" w:cs="Times New Roman"/>
          <w:sz w:val="24"/>
          <w:szCs w:val="24"/>
        </w:rPr>
        <w:t>During the preliminary stages of a major collaborative group presentation, I insisted on selecting a highly complex, ambitious topic that fell completely outside my team's actual area of expertise and our established curriculum. Driven by a desire to stand out and impress the instructor with an unconventional approach, I aggressively pitched the concept to my group and eventually won them over, despite their initial reservations. However, when we pitched the initial concept to the class, the instructor provided blunt, critical feedback, pointing out fundamental knowledge gaps and strongly advising a complete change of direction to avoid a failing grade.</w:t>
      </w:r>
    </w:p>
    <w:p w14:paraId="1F6E5A22" w14:textId="77777777" w:rsidR="004F2C62" w:rsidRDefault="004F2C62" w:rsidP="002110BE">
      <w:pPr>
        <w:jc w:val="both"/>
        <w:rPr>
          <w:rFonts w:ascii="Times New Roman" w:hAnsi="Times New Roman" w:cs="Times New Roman"/>
          <w:sz w:val="24"/>
          <w:szCs w:val="24"/>
        </w:rPr>
      </w:pPr>
      <w:r w:rsidRPr="00777BEC">
        <w:rPr>
          <w:rFonts w:ascii="Times New Roman" w:hAnsi="Times New Roman" w:cs="Times New Roman"/>
          <w:sz w:val="24"/>
          <w:szCs w:val="24"/>
        </w:rPr>
        <w:t>I initially felt intense embarrassment and defensiveness. Having confidently championed the idea to my peers, the public critique felt like a direct attack on my competence. My immediate internal reaction was a stubborn desire to double down, ignore the advice, and force the topic to work just to prove the feedback wrong and save face.</w:t>
      </w:r>
    </w:p>
    <w:p w14:paraId="191F2A50" w14:textId="6C8D9862" w:rsidR="004F2C62" w:rsidRDefault="004F2C62" w:rsidP="002110BE">
      <w:pPr>
        <w:jc w:val="both"/>
        <w:rPr>
          <w:rFonts w:ascii="Times New Roman" w:hAnsi="Times New Roman" w:cs="Times New Roman"/>
          <w:sz w:val="24"/>
          <w:szCs w:val="24"/>
        </w:rPr>
      </w:pPr>
      <w:r w:rsidRPr="004F2C62">
        <w:rPr>
          <w:rFonts w:ascii="Times New Roman" w:hAnsi="Times New Roman" w:cs="Times New Roman"/>
          <w:sz w:val="24"/>
          <w:szCs w:val="24"/>
        </w:rPr>
        <w:t xml:space="preserve">The clear negative outcome of this ordeal was the wasted preliminary research effort and the highly uncomfortable, bruising blow to my professional pride. However, the vital positive takeaway was that this intervention occurred exceptionally early in the project timeline, before any permanent damage was done to our final grade. The situation served as a necessary, real-world </w:t>
      </w:r>
      <w:r w:rsidR="00DF28EF">
        <w:rPr>
          <w:rFonts w:ascii="Times New Roman" w:hAnsi="Times New Roman" w:cs="Times New Roman"/>
          <w:sz w:val="24"/>
          <w:szCs w:val="24"/>
        </w:rPr>
        <w:t>stress test of my professional resilience and my capacity to prioritize the team's collective</w:t>
      </w:r>
      <w:r w:rsidRPr="004F2C62">
        <w:rPr>
          <w:rFonts w:ascii="Times New Roman" w:hAnsi="Times New Roman" w:cs="Times New Roman"/>
          <w:sz w:val="24"/>
          <w:szCs w:val="24"/>
        </w:rPr>
        <w:t xml:space="preserve"> success over my own personal validation. </w:t>
      </w:r>
    </w:p>
    <w:p w14:paraId="460366F2" w14:textId="2657AB46" w:rsidR="004F2C62" w:rsidRPr="004F2C62" w:rsidRDefault="004F2C62" w:rsidP="002110BE">
      <w:pPr>
        <w:jc w:val="both"/>
        <w:rPr>
          <w:rFonts w:ascii="Times New Roman" w:hAnsi="Times New Roman" w:cs="Times New Roman"/>
          <w:sz w:val="24"/>
          <w:szCs w:val="24"/>
        </w:rPr>
      </w:pPr>
      <w:r w:rsidRPr="004F2C62">
        <w:rPr>
          <w:rFonts w:ascii="Times New Roman" w:hAnsi="Times New Roman" w:cs="Times New Roman"/>
          <w:sz w:val="24"/>
          <w:szCs w:val="24"/>
        </w:rPr>
        <w:t xml:space="preserve">Reflecting on this incident through the lens of </w:t>
      </w:r>
      <w:r w:rsidR="00572C6A" w:rsidRPr="00572C6A">
        <w:rPr>
          <w:rFonts w:ascii="Times New Roman" w:hAnsi="Times New Roman" w:cs="Times New Roman"/>
          <w:sz w:val="24"/>
          <w:szCs w:val="24"/>
        </w:rPr>
        <w:t>Gibbs'</w:t>
      </w:r>
      <w:r w:rsidR="005053B8">
        <w:rPr>
          <w:rFonts w:ascii="Times New Roman" w:hAnsi="Times New Roman" w:cs="Times New Roman"/>
          <w:sz w:val="24"/>
          <w:szCs w:val="24"/>
        </w:rPr>
        <w:t xml:space="preserve"> </w:t>
      </w:r>
      <w:r w:rsidR="00572C6A" w:rsidRPr="00572C6A">
        <w:rPr>
          <w:rFonts w:ascii="Times New Roman" w:hAnsi="Times New Roman" w:cs="Times New Roman"/>
          <w:sz w:val="24"/>
          <w:szCs w:val="24"/>
        </w:rPr>
        <w:t>reflective cycle</w:t>
      </w:r>
      <w:r w:rsidR="005053B8">
        <w:rPr>
          <w:rFonts w:ascii="Times New Roman" w:hAnsi="Times New Roman" w:cs="Times New Roman"/>
          <w:sz w:val="24"/>
          <w:szCs w:val="24"/>
        </w:rPr>
        <w:t xml:space="preserve"> (1988)</w:t>
      </w:r>
      <w:r w:rsidR="00572C6A">
        <w:rPr>
          <w:rFonts w:ascii="Times New Roman" w:hAnsi="Times New Roman" w:cs="Times New Roman"/>
          <w:sz w:val="24"/>
          <w:szCs w:val="24"/>
        </w:rPr>
        <w:t xml:space="preserve"> and </w:t>
      </w:r>
      <w:r w:rsidRPr="004F2C62">
        <w:rPr>
          <w:rFonts w:ascii="Times New Roman" w:hAnsi="Times New Roman" w:cs="Times New Roman"/>
          <w:sz w:val="24"/>
          <w:szCs w:val="24"/>
        </w:rPr>
        <w:t xml:space="preserve">core professional competencies, </w:t>
      </w:r>
      <w:r w:rsidR="00AF6883">
        <w:rPr>
          <w:rFonts w:ascii="Times New Roman" w:hAnsi="Times New Roman" w:cs="Times New Roman"/>
          <w:sz w:val="24"/>
          <w:szCs w:val="24"/>
        </w:rPr>
        <w:t>I was struck by</w:t>
      </w:r>
      <w:r w:rsidRPr="004F2C62">
        <w:rPr>
          <w:rFonts w:ascii="Times New Roman" w:hAnsi="Times New Roman" w:cs="Times New Roman"/>
          <w:sz w:val="24"/>
          <w:szCs w:val="24"/>
        </w:rPr>
        <w:t xml:space="preserve"> a crucial area for my personal growth: the "ability to admit mistakes and learn from failure." I realized that my initial resistance to the feedback was driven entirely by </w:t>
      </w:r>
      <w:r w:rsidR="00966B2F">
        <w:rPr>
          <w:rFonts w:ascii="Times New Roman" w:hAnsi="Times New Roman" w:cs="Times New Roman"/>
          <w:sz w:val="24"/>
          <w:szCs w:val="24"/>
        </w:rPr>
        <w:t xml:space="preserve">a </w:t>
      </w:r>
      <w:r w:rsidRPr="004F2C62">
        <w:rPr>
          <w:rFonts w:ascii="Times New Roman" w:hAnsi="Times New Roman" w:cs="Times New Roman"/>
          <w:sz w:val="24"/>
          <w:szCs w:val="24"/>
        </w:rPr>
        <w:t>fragile ego, rather than objective business logic. I learned a profound lesson that day: taking immediate, public ownership of a misjudgment and executing a rapid pivot is not a sign of intellectual weakness. On the contrary, it is a high-level strategic skill that demonstrates maturity and prevents minor analytical errors from compounding into catastrophic systemic failures.</w:t>
      </w:r>
    </w:p>
    <w:p w14:paraId="32AFDBE5" w14:textId="77777777" w:rsidR="004F2C62" w:rsidRDefault="004F2C62" w:rsidP="002110BE">
      <w:pPr>
        <w:jc w:val="both"/>
        <w:rPr>
          <w:rFonts w:ascii="Times New Roman" w:hAnsi="Times New Roman" w:cs="Times New Roman"/>
          <w:sz w:val="24"/>
          <w:szCs w:val="24"/>
        </w:rPr>
      </w:pPr>
      <w:r w:rsidRPr="004F2C62">
        <w:rPr>
          <w:rFonts w:ascii="Times New Roman" w:hAnsi="Times New Roman" w:cs="Times New Roman"/>
          <w:sz w:val="24"/>
          <w:szCs w:val="24"/>
        </w:rPr>
        <w:t xml:space="preserve">Ultimately, I should have conducted a realistic, objective audit of both my own capabilities and my team's collective strengths before committing the group to such a high-risk topic. More importantly, the moment the foundational flaw in my logic was exposed by a superior, I should have bypassed the internal defensive phase entirely, swallowed my pride, and transitioned straight into collaborative problem-solving and rapid adaptation. </w:t>
      </w:r>
    </w:p>
    <w:p w14:paraId="13EC3A67" w14:textId="6092ABCD" w:rsidR="00572C6A" w:rsidRDefault="004F2C62" w:rsidP="002110BE">
      <w:pPr>
        <w:jc w:val="both"/>
        <w:rPr>
          <w:rFonts w:ascii="Times New Roman" w:hAnsi="Times New Roman" w:cs="Times New Roman"/>
          <w:sz w:val="24"/>
          <w:szCs w:val="24"/>
        </w:rPr>
      </w:pPr>
      <w:r w:rsidRPr="00777BEC">
        <w:rPr>
          <w:rFonts w:ascii="Times New Roman" w:hAnsi="Times New Roman" w:cs="Times New Roman"/>
          <w:sz w:val="24"/>
          <w:szCs w:val="24"/>
        </w:rPr>
        <w:t>This experience fundamentally altered how I process critique. I am actively working to decouple my personal ego from my professional output. Moving forward, I am adopting a "fail fast" methodology for all projects</w:t>
      </w:r>
      <w:r>
        <w:rPr>
          <w:rFonts w:ascii="Times New Roman" w:hAnsi="Times New Roman" w:cs="Times New Roman"/>
          <w:sz w:val="24"/>
          <w:szCs w:val="24"/>
        </w:rPr>
        <w:t xml:space="preserve">, </w:t>
      </w:r>
      <w:r w:rsidRPr="00777BEC">
        <w:rPr>
          <w:rFonts w:ascii="Times New Roman" w:hAnsi="Times New Roman" w:cs="Times New Roman"/>
          <w:sz w:val="24"/>
          <w:szCs w:val="24"/>
        </w:rPr>
        <w:t>seeking aggressive, early feedback and treating mistakes as valuable data points rather than personal insults. When an error in my logic or strategy is identified, my immediate, default response will be to acknowledge it openly, abandon the flawed approach without hesitation, and execute a rapid, data-driven course correction.</w:t>
      </w:r>
    </w:p>
    <w:p w14:paraId="75D5C923" w14:textId="77777777" w:rsidR="00572C6A" w:rsidRDefault="00572C6A">
      <w:pPr>
        <w:rPr>
          <w:rFonts w:ascii="Times New Roman" w:hAnsi="Times New Roman" w:cs="Times New Roman"/>
          <w:sz w:val="24"/>
          <w:szCs w:val="24"/>
        </w:rPr>
      </w:pPr>
      <w:r>
        <w:rPr>
          <w:rFonts w:ascii="Times New Roman" w:hAnsi="Times New Roman" w:cs="Times New Roman"/>
          <w:sz w:val="24"/>
          <w:szCs w:val="24"/>
        </w:rPr>
        <w:br w:type="page"/>
      </w:r>
    </w:p>
    <w:p w14:paraId="017E2D0B" w14:textId="5B5EBC30" w:rsidR="00777BEC" w:rsidRDefault="00572C6A" w:rsidP="002110BE">
      <w:pPr>
        <w:jc w:val="both"/>
        <w:rPr>
          <w:rFonts w:ascii="Times New Roman" w:hAnsi="Times New Roman" w:cs="Times New Roman"/>
          <w:sz w:val="24"/>
          <w:szCs w:val="24"/>
        </w:rPr>
      </w:pPr>
      <w:r>
        <w:rPr>
          <w:rFonts w:ascii="Times New Roman" w:hAnsi="Times New Roman" w:cs="Times New Roman"/>
          <w:sz w:val="24"/>
          <w:szCs w:val="24"/>
        </w:rPr>
        <w:lastRenderedPageBreak/>
        <w:t>References:</w:t>
      </w:r>
    </w:p>
    <w:p w14:paraId="5F302957" w14:textId="3E1B8E13" w:rsidR="00572C6A" w:rsidRPr="002C11EF" w:rsidRDefault="00572C6A" w:rsidP="002110BE">
      <w:pPr>
        <w:jc w:val="both"/>
        <w:rPr>
          <w:rFonts w:ascii="Times New Roman" w:hAnsi="Times New Roman" w:cs="Times New Roman"/>
          <w:sz w:val="24"/>
          <w:szCs w:val="24"/>
        </w:rPr>
      </w:pPr>
      <w:r w:rsidRPr="00572C6A">
        <w:rPr>
          <w:rFonts w:ascii="Times New Roman" w:hAnsi="Times New Roman" w:cs="Times New Roman"/>
          <w:sz w:val="24"/>
          <w:szCs w:val="24"/>
        </w:rPr>
        <w:t xml:space="preserve">Gibbs, G. (1988) </w:t>
      </w:r>
      <w:r w:rsidRPr="00572C6A">
        <w:rPr>
          <w:rFonts w:ascii="Times New Roman" w:hAnsi="Times New Roman" w:cs="Times New Roman"/>
          <w:i/>
          <w:iCs/>
          <w:sz w:val="24"/>
          <w:szCs w:val="24"/>
        </w:rPr>
        <w:t>Learning by Doing: A Guide to Teaching and Learning Methods</w:t>
      </w:r>
      <w:r w:rsidRPr="00572C6A">
        <w:rPr>
          <w:rFonts w:ascii="Times New Roman" w:hAnsi="Times New Roman" w:cs="Times New Roman"/>
          <w:sz w:val="24"/>
          <w:szCs w:val="24"/>
        </w:rPr>
        <w:t>. Oxford: Further Education Unit, Oxford Polytechnic.</w:t>
      </w:r>
    </w:p>
    <w:sectPr w:rsidR="00572C6A" w:rsidRPr="002C11EF" w:rsidSect="003144F9">
      <w:pgSz w:w="11906" w:h="16838" w:code="9"/>
      <w:pgMar w:top="1440" w:right="1077" w:bottom="144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538FC"/>
    <w:multiLevelType w:val="multilevel"/>
    <w:tmpl w:val="ACFA77C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1E026A1"/>
    <w:multiLevelType w:val="hybridMultilevel"/>
    <w:tmpl w:val="CAD25316"/>
    <w:lvl w:ilvl="0" w:tplc="114E5FD8">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488018">
    <w:abstractNumId w:val="1"/>
  </w:num>
  <w:num w:numId="2" w16cid:durableId="606038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081"/>
    <w:rsid w:val="00011DEB"/>
    <w:rsid w:val="000A70A7"/>
    <w:rsid w:val="00107927"/>
    <w:rsid w:val="002110BE"/>
    <w:rsid w:val="002C11EF"/>
    <w:rsid w:val="003144F9"/>
    <w:rsid w:val="00331047"/>
    <w:rsid w:val="0033793F"/>
    <w:rsid w:val="003443FC"/>
    <w:rsid w:val="00363777"/>
    <w:rsid w:val="003933AA"/>
    <w:rsid w:val="004F2C62"/>
    <w:rsid w:val="005053B8"/>
    <w:rsid w:val="00572C6A"/>
    <w:rsid w:val="005D6C1F"/>
    <w:rsid w:val="006C1CC4"/>
    <w:rsid w:val="00703DD3"/>
    <w:rsid w:val="00775081"/>
    <w:rsid w:val="00777BEC"/>
    <w:rsid w:val="008649C2"/>
    <w:rsid w:val="00890748"/>
    <w:rsid w:val="00894D9A"/>
    <w:rsid w:val="00897128"/>
    <w:rsid w:val="008E1628"/>
    <w:rsid w:val="00947507"/>
    <w:rsid w:val="00966B2F"/>
    <w:rsid w:val="009F7E12"/>
    <w:rsid w:val="00A76A7B"/>
    <w:rsid w:val="00AF6883"/>
    <w:rsid w:val="00B073E7"/>
    <w:rsid w:val="00C84EB6"/>
    <w:rsid w:val="00CD0E4C"/>
    <w:rsid w:val="00DF28EF"/>
    <w:rsid w:val="00EF12AD"/>
    <w:rsid w:val="00EF57AB"/>
    <w:rsid w:val="00F31BD6"/>
    <w:rsid w:val="00F647F7"/>
    <w:rsid w:val="00F76EC2"/>
    <w:rsid w:val="00FA2E5B"/>
    <w:rsid w:val="00FB469E"/>
    <w:rsid w:val="00FF439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3357B"/>
  <w15:chartTrackingRefBased/>
  <w15:docId w15:val="{AA222412-615F-4FB9-AC3C-849EB3DE0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C62"/>
  </w:style>
  <w:style w:type="paragraph" w:styleId="Heading1">
    <w:name w:val="heading 1"/>
    <w:basedOn w:val="Normal"/>
    <w:next w:val="Normal"/>
    <w:link w:val="Heading1Char"/>
    <w:autoRedefine/>
    <w:uiPriority w:val="9"/>
    <w:qFormat/>
    <w:rsid w:val="0033793F"/>
    <w:pPr>
      <w:keepNext/>
      <w:keepLines/>
      <w:numPr>
        <w:numId w:val="2"/>
      </w:numPr>
      <w:spacing w:before="360" w:after="80"/>
      <w:ind w:hanging="36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7750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50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0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0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93F"/>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7750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50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0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0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081"/>
    <w:rPr>
      <w:rFonts w:eastAsiaTheme="majorEastAsia" w:cstheme="majorBidi"/>
      <w:color w:val="272727" w:themeColor="text1" w:themeTint="D8"/>
    </w:rPr>
  </w:style>
  <w:style w:type="paragraph" w:styleId="Title">
    <w:name w:val="Title"/>
    <w:basedOn w:val="Normal"/>
    <w:next w:val="Normal"/>
    <w:link w:val="TitleChar"/>
    <w:uiPriority w:val="10"/>
    <w:qFormat/>
    <w:rsid w:val="00775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081"/>
    <w:pPr>
      <w:spacing w:before="160"/>
      <w:jc w:val="center"/>
    </w:pPr>
    <w:rPr>
      <w:i/>
      <w:iCs/>
      <w:color w:val="404040" w:themeColor="text1" w:themeTint="BF"/>
    </w:rPr>
  </w:style>
  <w:style w:type="character" w:customStyle="1" w:styleId="QuoteChar">
    <w:name w:val="Quote Char"/>
    <w:basedOn w:val="DefaultParagraphFont"/>
    <w:link w:val="Quote"/>
    <w:uiPriority w:val="29"/>
    <w:rsid w:val="00775081"/>
    <w:rPr>
      <w:i/>
      <w:iCs/>
      <w:color w:val="404040" w:themeColor="text1" w:themeTint="BF"/>
    </w:rPr>
  </w:style>
  <w:style w:type="paragraph" w:styleId="ListParagraph">
    <w:name w:val="List Paragraph"/>
    <w:basedOn w:val="Normal"/>
    <w:uiPriority w:val="34"/>
    <w:qFormat/>
    <w:rsid w:val="00775081"/>
    <w:pPr>
      <w:ind w:left="720"/>
      <w:contextualSpacing/>
    </w:pPr>
  </w:style>
  <w:style w:type="character" w:styleId="IntenseEmphasis">
    <w:name w:val="Intense Emphasis"/>
    <w:basedOn w:val="DefaultParagraphFont"/>
    <w:uiPriority w:val="21"/>
    <w:qFormat/>
    <w:rsid w:val="00775081"/>
    <w:rPr>
      <w:i/>
      <w:iCs/>
      <w:color w:val="2F5496" w:themeColor="accent1" w:themeShade="BF"/>
    </w:rPr>
  </w:style>
  <w:style w:type="paragraph" w:styleId="IntenseQuote">
    <w:name w:val="Intense Quote"/>
    <w:basedOn w:val="Normal"/>
    <w:next w:val="Normal"/>
    <w:link w:val="IntenseQuoteChar"/>
    <w:uiPriority w:val="30"/>
    <w:qFormat/>
    <w:rsid w:val="007750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081"/>
    <w:rPr>
      <w:i/>
      <w:iCs/>
      <w:color w:val="2F5496" w:themeColor="accent1" w:themeShade="BF"/>
    </w:rPr>
  </w:style>
  <w:style w:type="character" w:styleId="IntenseReference">
    <w:name w:val="Intense Reference"/>
    <w:basedOn w:val="DefaultParagraphFont"/>
    <w:uiPriority w:val="32"/>
    <w:qFormat/>
    <w:rsid w:val="007750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2</Pages>
  <Words>496</Words>
  <Characters>2829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Binh Nguyen</dc:creator>
  <cp:keywords/>
  <dc:description/>
  <cp:lastModifiedBy>Binh Nguyen</cp:lastModifiedBy>
  <cp:revision>15</cp:revision>
  <dcterms:created xsi:type="dcterms:W3CDTF">2026-03-31T13:29:00Z</dcterms:created>
  <dcterms:modified xsi:type="dcterms:W3CDTF">2026-04-01T16:00:00Z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7c0573fa-3354-447b-8169-9353492cc8c8</vt:lpwstr>
  </property>
</Properties>
</file>