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Ex1.xml" ContentType="application/vnd.ms-office.chartex+xml"/>
  <Override PartName="/word/charts/style5.xml" ContentType="application/vnd.ms-office.chartstyle+xml"/>
  <Override PartName="/word/charts/colors5.xml" ContentType="application/vnd.ms-office.chartcolorstyle+xml"/>
  <Override PartName="/word/charts/chartEx2.xml" ContentType="application/vnd.ms-office.chartex+xml"/>
  <Override PartName="/word/charts/style6.xml" ContentType="application/vnd.ms-office.chartstyle+xml"/>
  <Override PartName="/word/charts/colors6.xml" ContentType="application/vnd.ms-office.chartcolorstyle+xml"/>
  <Override PartName="/word/charts/chart5.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6.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40C4" w14:textId="77777777" w:rsidR="00407865" w:rsidRPr="00E840E6" w:rsidRDefault="00407865" w:rsidP="00407865">
      <w:pPr>
        <w:pStyle w:val="ListParagraph"/>
        <w:numPr>
          <w:ilvl w:val="0"/>
          <w:numId w:val="1"/>
        </w:numPr>
        <w:spacing w:line="276" w:lineRule="auto"/>
        <w:rPr>
          <w:rFonts w:ascii="Times New Roman" w:hAnsi="Times New Roman" w:cs="Times New Roman"/>
          <w:b/>
          <w:bCs/>
          <w:lang w:val="vi-VN"/>
        </w:rPr>
      </w:pPr>
      <w:bookmarkStart w:id="0" w:name="OLE_LINK4"/>
      <w:r w:rsidRPr="00E840E6">
        <w:rPr>
          <w:rFonts w:ascii="Times New Roman" w:hAnsi="Times New Roman" w:cs="Times New Roman"/>
          <w:b/>
          <w:bCs/>
          <w:lang w:val="vi-VN"/>
        </w:rPr>
        <w:t xml:space="preserve">Introduction and Literature </w:t>
      </w:r>
    </w:p>
    <w:p w14:paraId="75F154EC" w14:textId="77777777" w:rsidR="00407865" w:rsidRPr="0039718A" w:rsidRDefault="00407865" w:rsidP="00407865">
      <w:pPr>
        <w:spacing w:before="60" w:after="120" w:line="276" w:lineRule="auto"/>
        <w:jc w:val="both"/>
        <w:rPr>
          <w:rFonts w:ascii="Times New Roman" w:hAnsi="Times New Roman" w:cs="Times New Roman"/>
          <w:lang w:val="vi-VN"/>
        </w:rPr>
      </w:pPr>
      <w:r w:rsidRPr="00725B2B">
        <w:rPr>
          <w:rFonts w:ascii="Times New Roman" w:hAnsi="Times New Roman" w:cs="Times New Roman"/>
          <w:lang w:val="vi-VN"/>
        </w:rPr>
        <w:t>Financial markets are inherently forward-looking because stock prices rapidly aggregate expectations, allowing equity returns to predict macroeconomic outcomes. Mauro (2003) investigated this cross-country relationship by studying correlations between real GDP per capita growth, denoted as Dy in percentages, and lagged real stock returns, denoted as r. The variable r equals nominal index returns minus consumer price inflation in percentages. Mauro (2003) expanded this analysis beyond advanced G-7 nations to emerging economies, finding both groups exhibited similar proportions of statistically significant positive correlations annually, although emerging markets demonstrated weaker correlations quarterly. This report replicates and extends the annual-frequency framework of Mauro (2003) for India and the United States. Employing data spanning 1991–2024 for India and 1961–2024 for the USA, this study computes descriptive statistics, examines distributional properties, tests lead–lag relationships, and estimates regression models. The contrasting findings between these economies instructively illustrate the heterogeneity documented by Mauro (2003).</w:t>
      </w:r>
    </w:p>
    <w:p w14:paraId="4653EB01" w14:textId="77777777" w:rsidR="00407865" w:rsidRPr="00E840E6" w:rsidRDefault="00407865" w:rsidP="00407865">
      <w:pPr>
        <w:pStyle w:val="ListParagraph"/>
        <w:numPr>
          <w:ilvl w:val="0"/>
          <w:numId w:val="1"/>
        </w:numPr>
        <w:spacing w:line="276" w:lineRule="auto"/>
        <w:rPr>
          <w:rFonts w:ascii="Times New Roman" w:hAnsi="Times New Roman" w:cs="Times New Roman"/>
          <w:b/>
          <w:bCs/>
          <w:lang w:val="vi-VN"/>
        </w:rPr>
      </w:pPr>
      <w:r w:rsidRPr="00E840E6">
        <w:rPr>
          <w:rFonts w:ascii="Times New Roman" w:hAnsi="Times New Roman" w:cs="Times New Roman"/>
          <w:b/>
          <w:bCs/>
          <w:lang w:val="vi-VN"/>
        </w:rPr>
        <w:t xml:space="preserve">Descriptive Statistics </w:t>
      </w:r>
    </w:p>
    <w:p w14:paraId="1C6B5637" w14:textId="77777777" w:rsidR="00407865" w:rsidRDefault="00407865" w:rsidP="00407865">
      <w:pPr>
        <w:spacing w:line="276" w:lineRule="auto"/>
        <w:rPr>
          <w:rFonts w:ascii="Times New Roman" w:hAnsi="Times New Roman" w:cs="Times New Roman"/>
          <w:lang w:val="vi-VN"/>
        </w:rPr>
      </w:pPr>
      <w:r w:rsidRPr="00857A5A">
        <w:rPr>
          <w:rFonts w:ascii="Times New Roman" w:hAnsi="Times New Roman" w:cs="Times New Roman"/>
          <w:lang w:val="vi-VN"/>
        </w:rPr>
        <w:t xml:space="preserve">Table 1 summarises the key descriptive statistics for real stock returns and real GDP per capita growth for both countries. </w:t>
      </w:r>
    </w:p>
    <w:p w14:paraId="5CD72F15" w14:textId="77777777" w:rsidR="00407865" w:rsidRDefault="00407865" w:rsidP="00407865">
      <w:pPr>
        <w:spacing w:before="80" w:after="80" w:line="276" w:lineRule="auto"/>
        <w:jc w:val="center"/>
        <w:rPr>
          <w:rFonts w:ascii="Times New Roman" w:eastAsia="Times New Roman" w:hAnsi="Times New Roman" w:cs="Times New Roman"/>
          <w:lang w:val="vi-VN"/>
        </w:rPr>
      </w:pPr>
      <w:bookmarkStart w:id="1" w:name="OLE_LINK2"/>
      <w:r w:rsidRPr="00250397">
        <w:rPr>
          <w:rFonts w:ascii="Times New Roman" w:eastAsia="Times New Roman" w:hAnsi="Times New Roman" w:cs="Times New Roman"/>
          <w:lang w:val="vi-VN"/>
        </w:rPr>
        <w:drawing>
          <wp:inline distT="0" distB="0" distL="0" distR="0" wp14:anchorId="4C0E7CB8" wp14:editId="62D377B5">
            <wp:extent cx="4334400" cy="2406148"/>
            <wp:effectExtent l="0" t="0" r="0" b="0"/>
            <wp:docPr id="177318648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86486" name="Picture 1" descr="A table with numbers and symbols&#10;&#10;AI-generated content may be incorrect."/>
                    <pic:cNvPicPr/>
                  </pic:nvPicPr>
                  <pic:blipFill>
                    <a:blip r:embed="rId5"/>
                    <a:stretch>
                      <a:fillRect/>
                    </a:stretch>
                  </pic:blipFill>
                  <pic:spPr>
                    <a:xfrm>
                      <a:off x="0" y="0"/>
                      <a:ext cx="4334400" cy="2406148"/>
                    </a:xfrm>
                    <a:prstGeom prst="rect">
                      <a:avLst/>
                    </a:prstGeom>
                  </pic:spPr>
                </pic:pic>
              </a:graphicData>
            </a:graphic>
          </wp:inline>
        </w:drawing>
      </w:r>
    </w:p>
    <w:p w14:paraId="46360DD3" w14:textId="77777777" w:rsidR="00407865" w:rsidRPr="0065356C" w:rsidRDefault="00407865" w:rsidP="00407865">
      <w:pPr>
        <w:spacing w:before="80" w:after="80" w:line="276" w:lineRule="auto"/>
        <w:jc w:val="both"/>
        <w:rPr>
          <w:rFonts w:ascii="Times New Roman" w:eastAsia="Times New Roman" w:hAnsi="Times New Roman" w:cs="Times New Roman"/>
          <w:lang w:val="vi-VN"/>
        </w:rPr>
      </w:pPr>
      <w:r w:rsidRPr="00DC7029">
        <w:rPr>
          <w:rFonts w:ascii="Times New Roman" w:eastAsia="Times New Roman" w:hAnsi="Times New Roman" w:cs="Times New Roman"/>
          <w:lang w:val="vi-VN"/>
        </w:rPr>
        <w:t xml:space="preserve">India's 5.53% mean stock return exceeds the USA's 3.42% reflecting emerging market risk premia (Richards, 1996). India's 27.24 point standard deviation dwarfs the USA's 17.12 points validating Mauro's (2003) volatility finding. India averages higher GDP growth via structural catch-up yet both output series show similar 2 to 3 point standard deviations. The -52.43% USA stock crash in 2008 is the extreme outlier where Lehman Brothers collapsing triggered a credit freeze, deleveraging, and halved valuations (Wiggins and Metrick, 2019). Conversely 1995 hit 26.54% from dot-com optimism, expansion, and declining rates. India's -81.32% stock low in 2008 occurred as the Global Financial Crisis brought currency issues and capital flight (Kumar and Vashisht, 2009). Both negatively skewed stock series show crashes outweigh gains. India's GDP </w:t>
      </w:r>
      <w:r w:rsidRPr="00DC7029">
        <w:rPr>
          <w:rFonts w:ascii="Times New Roman" w:eastAsia="Times New Roman" w:hAnsi="Times New Roman" w:cs="Times New Roman"/>
          <w:lang w:val="vi-VN"/>
        </w:rPr>
        <w:lastRenderedPageBreak/>
        <w:t>growth is sharply negatively skewed at -2.07 and leptokurtic with 6.52 excess kurtosis driven by the -6.92% COVID-19 contraction in 2020. USA GDP growth is nearly symmetric with -0.58 skewness and 0.53 kurtosis. Outliers disproportionately distort Indian data complicating</w:t>
      </w:r>
      <w:r>
        <w:rPr>
          <w:rFonts w:ascii="Times New Roman" w:eastAsia="Times New Roman" w:hAnsi="Times New Roman" w:cs="Times New Roman"/>
          <w:lang w:val="vi-VN"/>
        </w:rPr>
        <w:t>.</w:t>
      </w:r>
    </w:p>
    <w:bookmarkEnd w:id="1"/>
    <w:p w14:paraId="22BD1F49" w14:textId="77777777" w:rsidR="00407865" w:rsidRPr="0058740F" w:rsidRDefault="00407865" w:rsidP="00407865">
      <w:pPr>
        <w:pStyle w:val="ListParagraph"/>
        <w:numPr>
          <w:ilvl w:val="0"/>
          <w:numId w:val="1"/>
        </w:numPr>
        <w:spacing w:before="80" w:after="80" w:line="276" w:lineRule="auto"/>
        <w:jc w:val="both"/>
        <w:rPr>
          <w:rFonts w:ascii="Times New Roman" w:hAnsi="Times New Roman" w:cs="Times New Roman"/>
          <w:b/>
          <w:bCs/>
          <w:lang w:val="vi-VN"/>
        </w:rPr>
      </w:pPr>
      <w:r w:rsidRPr="0058740F">
        <w:rPr>
          <w:rFonts w:ascii="Times New Roman" w:hAnsi="Times New Roman" w:cs="Times New Roman"/>
          <w:b/>
          <w:bCs/>
          <w:lang w:val="vi-VN"/>
        </w:rPr>
        <w:t>Histogram</w:t>
      </w:r>
      <w:r>
        <w:rPr>
          <w:rFonts w:ascii="Times New Roman" w:hAnsi="Times New Roman" w:cs="Times New Roman"/>
          <w:b/>
          <w:bCs/>
          <w:lang w:val="vi-VN"/>
        </w:rPr>
        <w:t>s</w:t>
      </w:r>
      <w:r w:rsidRPr="0058740F">
        <w:rPr>
          <w:rFonts w:ascii="Times New Roman" w:hAnsi="Times New Roman" w:cs="Times New Roman"/>
          <w:b/>
          <w:bCs/>
          <w:lang w:val="vi-VN"/>
        </w:rPr>
        <w:t xml:space="preserve"> and Box plot</w:t>
      </w:r>
      <w:r>
        <w:rPr>
          <w:rFonts w:ascii="Times New Roman" w:hAnsi="Times New Roman" w:cs="Times New Roman"/>
          <w:b/>
          <w:bCs/>
          <w:lang w:val="vi-VN"/>
        </w:rPr>
        <w:t>s</w:t>
      </w:r>
    </w:p>
    <w:p w14:paraId="4C65FFDF" w14:textId="77777777" w:rsidR="00407865" w:rsidRDefault="00407865" w:rsidP="00407865">
      <w:pPr>
        <w:spacing w:after="0" w:line="240" w:lineRule="auto"/>
        <w:jc w:val="center"/>
        <w:rPr>
          <w:rFonts w:ascii="Times New Roman" w:hAnsi="Times New Roman" w:cs="Times New Roman"/>
          <w:lang w:val="vi-VN"/>
        </w:rPr>
      </w:pPr>
      <w:r>
        <w:rPr>
          <w:noProof/>
        </w:rPr>
        <w:drawing>
          <wp:inline distT="0" distB="0" distL="0" distR="0" wp14:anchorId="65A444ED" wp14:editId="69F520B2">
            <wp:extent cx="4334400" cy="2678400"/>
            <wp:effectExtent l="0" t="0" r="9525" b="14605"/>
            <wp:docPr id="2118157117" name="Chart 1">
              <a:extLst xmlns:a="http://schemas.openxmlformats.org/drawingml/2006/main">
                <a:ext uri="{FF2B5EF4-FFF2-40B4-BE49-F238E27FC236}">
                  <a16:creationId xmlns:a16="http://schemas.microsoft.com/office/drawing/2014/main" id="{A9F180FC-C166-9FAF-3C80-C1F73B3592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015EB60" w14:textId="77777777" w:rsidR="00407865" w:rsidRDefault="00407865" w:rsidP="00407865">
      <w:pPr>
        <w:spacing w:after="0" w:line="276" w:lineRule="auto"/>
        <w:jc w:val="center"/>
        <w:rPr>
          <w:rFonts w:ascii="Times New Roman" w:hAnsi="Times New Roman" w:cs="Times New Roman"/>
          <w:b/>
          <w:bCs/>
          <w:lang w:val="vi-VN"/>
        </w:rPr>
      </w:pPr>
      <w:r w:rsidRPr="00383576">
        <w:rPr>
          <w:rFonts w:ascii="Times New Roman" w:hAnsi="Times New Roman" w:cs="Times New Roman"/>
          <w:b/>
          <w:bCs/>
          <w:lang w:val="vi-VN"/>
        </w:rPr>
        <w:t>Chart 1: Histogram of USA Real Stock Returns (1961 – 2024)</w:t>
      </w:r>
    </w:p>
    <w:p w14:paraId="63F381C9" w14:textId="77777777" w:rsidR="00407865" w:rsidRDefault="00407865" w:rsidP="00407865">
      <w:pPr>
        <w:spacing w:after="0" w:line="276" w:lineRule="auto"/>
        <w:jc w:val="both"/>
        <w:rPr>
          <w:rFonts w:ascii="Times New Roman" w:eastAsia="Arial" w:hAnsi="Times New Roman" w:cs="Times New Roman"/>
          <w:lang w:val="vi-VN"/>
        </w:rPr>
      </w:pPr>
      <w:r w:rsidRPr="00380438">
        <w:rPr>
          <w:rFonts w:ascii="Times New Roman" w:eastAsia="Arial" w:hAnsi="Times New Roman" w:cs="Times New Roman"/>
        </w:rPr>
        <w:t>Chart 1 shows that USA stock returns follow a broadly bell-shaped distribution. The most common value range is between 0% and 25%, where the majority of annual observations cluster</w:t>
      </w:r>
      <w:r>
        <w:rPr>
          <w:rFonts w:ascii="Times New Roman" w:eastAsia="Arial" w:hAnsi="Times New Roman" w:cs="Times New Roman"/>
          <w:lang w:val="vi-VN"/>
        </w:rPr>
        <w:t>,</w:t>
      </w:r>
      <w:r w:rsidRPr="00380438">
        <w:rPr>
          <w:rFonts w:ascii="Times New Roman" w:eastAsia="Arial" w:hAnsi="Times New Roman" w:cs="Times New Roman"/>
        </w:rPr>
        <w:t xml:space="preserve"> this reflects the long-run positive drift of developed equity markets. The distribution has a clear left tail</w:t>
      </w:r>
      <w:r>
        <w:rPr>
          <w:rFonts w:ascii="Times New Roman" w:eastAsia="Arial" w:hAnsi="Times New Roman" w:cs="Times New Roman"/>
          <w:lang w:val="vi-VN"/>
        </w:rPr>
        <w:t xml:space="preserve"> when</w:t>
      </w:r>
      <w:r w:rsidRPr="00380438">
        <w:rPr>
          <w:rFonts w:ascii="Times New Roman" w:eastAsia="Arial" w:hAnsi="Times New Roman" w:cs="Times New Roman"/>
        </w:rPr>
        <w:t xml:space="preserve"> the 2008 bar (−52.43%) stands completely alone beyond −45%, and 1974 (−46.32%) sits adjacent. The mean (3.42%) lies visibly to the left of the median (7.74%), graphically confirming the negative skewness in Table 1.</w:t>
      </w:r>
      <w:r>
        <w:rPr>
          <w:rFonts w:ascii="Times New Roman" w:eastAsia="Arial" w:hAnsi="Times New Roman" w:cs="Times New Roman"/>
          <w:lang w:val="vi-VN"/>
        </w:rPr>
        <w:t xml:space="preserve"> </w:t>
      </w:r>
    </w:p>
    <w:p w14:paraId="0FC6F9E7" w14:textId="77777777" w:rsidR="00407865" w:rsidRDefault="00407865" w:rsidP="00407865">
      <w:pPr>
        <w:spacing w:after="0" w:line="240" w:lineRule="auto"/>
        <w:rPr>
          <w:rFonts w:ascii="Times New Roman" w:eastAsia="Arial" w:hAnsi="Times New Roman" w:cs="Times New Roman"/>
          <w:lang w:val="vi-VN"/>
        </w:rPr>
      </w:pPr>
    </w:p>
    <w:p w14:paraId="5F6DDA06" w14:textId="77777777" w:rsidR="00407865" w:rsidRDefault="00407865" w:rsidP="00407865">
      <w:pPr>
        <w:spacing w:after="0" w:line="240" w:lineRule="auto"/>
        <w:jc w:val="center"/>
        <w:rPr>
          <w:rFonts w:ascii="Times New Roman" w:eastAsia="Arial" w:hAnsi="Times New Roman" w:cs="Times New Roman"/>
          <w:lang w:val="vi-VN"/>
        </w:rPr>
      </w:pPr>
      <w:r>
        <w:rPr>
          <w:noProof/>
        </w:rPr>
        <w:drawing>
          <wp:inline distT="0" distB="0" distL="0" distR="0" wp14:anchorId="7BF43C61" wp14:editId="63BD4EC5">
            <wp:extent cx="4335694" cy="2678400"/>
            <wp:effectExtent l="0" t="0" r="8255" b="14605"/>
            <wp:docPr id="699351269" name="Chart 1">
              <a:extLst xmlns:a="http://schemas.openxmlformats.org/drawingml/2006/main">
                <a:ext uri="{FF2B5EF4-FFF2-40B4-BE49-F238E27FC236}">
                  <a16:creationId xmlns:a16="http://schemas.microsoft.com/office/drawing/2014/main" id="{9EE54608-D33B-7B08-D789-0048203C09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452007C" w14:textId="77777777" w:rsidR="00407865" w:rsidRPr="007805F8" w:rsidRDefault="00407865" w:rsidP="00407865">
      <w:pPr>
        <w:spacing w:after="0" w:line="276" w:lineRule="auto"/>
        <w:jc w:val="center"/>
        <w:rPr>
          <w:rFonts w:ascii="Times New Roman" w:eastAsia="Arial" w:hAnsi="Times New Roman" w:cs="Times New Roman"/>
          <w:b/>
          <w:bCs/>
          <w:lang w:val="vi-VN"/>
        </w:rPr>
      </w:pPr>
      <w:r w:rsidRPr="007C0047">
        <w:rPr>
          <w:rFonts w:ascii="Times New Roman" w:eastAsia="Arial" w:hAnsi="Times New Roman" w:cs="Times New Roman"/>
          <w:b/>
          <w:bCs/>
          <w:lang w:val="vi-VN"/>
        </w:rPr>
        <w:t>Chart 2: Histogram of USA GDP Growth</w:t>
      </w:r>
      <w:r>
        <w:rPr>
          <w:rFonts w:ascii="Times New Roman" w:eastAsia="Arial" w:hAnsi="Times New Roman" w:cs="Times New Roman"/>
          <w:b/>
          <w:bCs/>
          <w:lang w:val="vi-VN"/>
        </w:rPr>
        <w:t xml:space="preserve"> (1961 – 2024)</w:t>
      </w:r>
    </w:p>
    <w:p w14:paraId="28E94288" w14:textId="77777777" w:rsidR="00407865" w:rsidRDefault="00407865" w:rsidP="00407865">
      <w:pPr>
        <w:spacing w:after="0" w:line="276" w:lineRule="auto"/>
        <w:jc w:val="both"/>
        <w:rPr>
          <w:rFonts w:ascii="Times New Roman" w:eastAsia="Arial" w:hAnsi="Times New Roman" w:cs="Times New Roman"/>
          <w:lang w:val="vi-VN"/>
        </w:rPr>
      </w:pPr>
      <w:r>
        <w:rPr>
          <w:rFonts w:ascii="Times New Roman" w:eastAsia="Arial" w:hAnsi="Times New Roman" w:cs="Times New Roman"/>
          <w:lang w:val="vi-VN"/>
        </w:rPr>
        <w:lastRenderedPageBreak/>
        <w:t xml:space="preserve">Chart 2 </w:t>
      </w:r>
      <w:r w:rsidRPr="007C0047">
        <w:rPr>
          <w:rFonts w:ascii="Times New Roman" w:eastAsia="Arial" w:hAnsi="Times New Roman" w:cs="Times New Roman"/>
          <w:lang w:val="vi-VN"/>
        </w:rPr>
        <w:t>displays the frequency distribution of the chosen economic variable, clearly illustrating its central tendency, spread, and overall shape. The data exhibits noticeable skewness and kurtosis, with most observations clustering near the mean. Fat tails and potential outliers reflect the historical volatility typical of financial markets and macroeconomic growth.</w:t>
      </w:r>
    </w:p>
    <w:p w14:paraId="17AA18B3" w14:textId="77777777" w:rsidR="00407865" w:rsidRDefault="00407865" w:rsidP="00407865">
      <w:pPr>
        <w:spacing w:after="0" w:line="240" w:lineRule="auto"/>
        <w:jc w:val="center"/>
        <w:rPr>
          <w:rFonts w:ascii="Times New Roman" w:eastAsia="Arial" w:hAnsi="Times New Roman" w:cs="Times New Roman"/>
          <w:lang w:val="vi-VN"/>
        </w:rPr>
      </w:pPr>
      <w:r>
        <w:rPr>
          <w:noProof/>
        </w:rPr>
        <w:drawing>
          <wp:inline distT="0" distB="0" distL="0" distR="0" wp14:anchorId="7083CD3B" wp14:editId="0B653F55">
            <wp:extent cx="4334400" cy="2678400"/>
            <wp:effectExtent l="0" t="0" r="9525" b="14605"/>
            <wp:docPr id="761860076" name="Chart 1">
              <a:extLst xmlns:a="http://schemas.openxmlformats.org/drawingml/2006/main">
                <a:ext uri="{FF2B5EF4-FFF2-40B4-BE49-F238E27FC236}">
                  <a16:creationId xmlns:a16="http://schemas.microsoft.com/office/drawing/2014/main" id="{D8A4D7B5-22C9-BA23-B49D-51AD8EA2FA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38254D4" w14:textId="77777777" w:rsidR="00407865" w:rsidRDefault="00407865" w:rsidP="00407865">
      <w:pPr>
        <w:spacing w:after="0" w:line="240" w:lineRule="auto"/>
        <w:jc w:val="center"/>
        <w:rPr>
          <w:rFonts w:ascii="Times New Roman" w:eastAsia="Arial" w:hAnsi="Times New Roman" w:cs="Times New Roman"/>
          <w:b/>
          <w:bCs/>
          <w:lang w:val="vi-VN"/>
        </w:rPr>
      </w:pPr>
      <w:r w:rsidRPr="007C0047">
        <w:rPr>
          <w:rFonts w:ascii="Times New Roman" w:eastAsia="Arial" w:hAnsi="Times New Roman" w:cs="Times New Roman"/>
          <w:b/>
          <w:bCs/>
          <w:lang w:val="vi-VN"/>
        </w:rPr>
        <w:t>Chart 3: Histogram of India Real Stock Returns (1991 – 2024)</w:t>
      </w:r>
    </w:p>
    <w:p w14:paraId="69FD45FE" w14:textId="77777777" w:rsidR="00407865" w:rsidRDefault="00407865" w:rsidP="00407865">
      <w:pPr>
        <w:spacing w:before="90" w:after="90"/>
        <w:jc w:val="both"/>
        <w:rPr>
          <w:rFonts w:ascii="Times New Roman" w:eastAsia="Arial" w:hAnsi="Times New Roman" w:cs="Times New Roman"/>
          <w:lang w:val="vi-VN"/>
        </w:rPr>
      </w:pPr>
      <w:r w:rsidRPr="00380438">
        <w:rPr>
          <w:rFonts w:ascii="Times New Roman" w:eastAsia="Arial" w:hAnsi="Times New Roman" w:cs="Times New Roman"/>
        </w:rPr>
        <w:t xml:space="preserve">Chart </w:t>
      </w:r>
      <w:r>
        <w:rPr>
          <w:rFonts w:ascii="Times New Roman" w:eastAsia="Arial" w:hAnsi="Times New Roman" w:cs="Times New Roman"/>
          <w:lang w:val="vi-VN"/>
        </w:rPr>
        <w:t>3</w:t>
      </w:r>
      <w:r w:rsidRPr="00380438">
        <w:rPr>
          <w:rFonts w:ascii="Times New Roman" w:eastAsia="Arial" w:hAnsi="Times New Roman" w:cs="Times New Roman"/>
        </w:rPr>
        <w:t xml:space="preserve"> is immediately striking in its width and irregularity. The most common value range for India is 0% to 30%, slightly higher than the USA's. However, the distribution spreads across 131 percentage points, nearly double the USA's range. The 2008 bar (−81.32%) is completely isolated at the far left</w:t>
      </w:r>
      <w:r>
        <w:rPr>
          <w:rFonts w:ascii="Times New Roman" w:eastAsia="Arial" w:hAnsi="Times New Roman" w:cs="Times New Roman"/>
          <w:lang w:val="vi-VN"/>
        </w:rPr>
        <w:t>,</w:t>
      </w:r>
      <w:r w:rsidRPr="00380438">
        <w:rPr>
          <w:rFonts w:ascii="Times New Roman" w:eastAsia="Arial" w:hAnsi="Times New Roman" w:cs="Times New Roman"/>
        </w:rPr>
        <w:t xml:space="preserve"> no other year comes close. Three bars beyond 40% show India's boom years. Comparing Charts 1 and </w:t>
      </w:r>
      <w:r>
        <w:rPr>
          <w:rFonts w:ascii="Times New Roman" w:eastAsia="Arial" w:hAnsi="Times New Roman" w:cs="Times New Roman"/>
          <w:lang w:val="vi-VN"/>
        </w:rPr>
        <w:t>3</w:t>
      </w:r>
      <w:r w:rsidRPr="00380438">
        <w:rPr>
          <w:rFonts w:ascii="Times New Roman" w:eastAsia="Arial" w:hAnsi="Times New Roman" w:cs="Times New Roman"/>
        </w:rPr>
        <w:t xml:space="preserve"> directly</w:t>
      </w:r>
      <w:r>
        <w:rPr>
          <w:rFonts w:ascii="Times New Roman" w:eastAsia="Arial" w:hAnsi="Times New Roman" w:cs="Times New Roman"/>
          <w:lang w:val="vi-VN"/>
        </w:rPr>
        <w:t>,</w:t>
      </w:r>
      <w:r w:rsidRPr="00380438">
        <w:rPr>
          <w:rFonts w:ascii="Times New Roman" w:eastAsia="Arial" w:hAnsi="Times New Roman" w:cs="Times New Roman"/>
        </w:rPr>
        <w:t xml:space="preserve"> the Indian histogram is both wider and more irregular, visually confirming Mauro (2003)'s observation about higher emerging-market return volatility.</w:t>
      </w:r>
    </w:p>
    <w:p w14:paraId="34732094" w14:textId="77777777" w:rsidR="00407865" w:rsidRPr="00D937B0" w:rsidRDefault="00407865" w:rsidP="00407865">
      <w:pPr>
        <w:spacing w:before="90" w:after="90"/>
        <w:jc w:val="both"/>
        <w:rPr>
          <w:rFonts w:ascii="Times New Roman" w:eastAsia="Arial" w:hAnsi="Times New Roman" w:cs="Times New Roman"/>
          <w:lang w:val="vi-VN"/>
        </w:rPr>
      </w:pPr>
    </w:p>
    <w:p w14:paraId="3FB5988B" w14:textId="77777777" w:rsidR="00407865" w:rsidRPr="00D937B0" w:rsidRDefault="00407865" w:rsidP="00407865">
      <w:pPr>
        <w:spacing w:after="0" w:line="240" w:lineRule="auto"/>
        <w:jc w:val="center"/>
        <w:rPr>
          <w:noProof/>
        </w:rPr>
      </w:pPr>
      <w:r>
        <w:rPr>
          <w:noProof/>
        </w:rPr>
        <w:drawing>
          <wp:inline distT="0" distB="0" distL="0" distR="0" wp14:anchorId="463B4CC3" wp14:editId="6BFCA71C">
            <wp:extent cx="4334400" cy="2678400"/>
            <wp:effectExtent l="0" t="0" r="9525" b="14605"/>
            <wp:docPr id="493971074" name="Chart 1">
              <a:extLst xmlns:a="http://schemas.openxmlformats.org/drawingml/2006/main">
                <a:ext uri="{FF2B5EF4-FFF2-40B4-BE49-F238E27FC236}">
                  <a16:creationId xmlns:a16="http://schemas.microsoft.com/office/drawing/2014/main" id="{F01D5C66-3E5B-4375-A6FD-CC1A629FF9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4A9F0FA" w14:textId="77777777" w:rsidR="00407865" w:rsidRDefault="00407865" w:rsidP="00407865">
      <w:pPr>
        <w:spacing w:after="0" w:line="276" w:lineRule="auto"/>
        <w:jc w:val="center"/>
        <w:rPr>
          <w:rFonts w:ascii="Times New Roman" w:hAnsi="Times New Roman" w:cs="Times New Roman"/>
          <w:b/>
          <w:bCs/>
          <w:noProof/>
          <w:lang w:val="vi-VN"/>
        </w:rPr>
      </w:pPr>
      <w:r w:rsidRPr="00D937B0">
        <w:rPr>
          <w:rFonts w:ascii="Times New Roman" w:hAnsi="Times New Roman" w:cs="Times New Roman"/>
          <w:b/>
          <w:bCs/>
          <w:noProof/>
        </w:rPr>
        <w:t xml:space="preserve">Chart </w:t>
      </w:r>
      <w:r>
        <w:rPr>
          <w:rFonts w:ascii="Times New Roman" w:hAnsi="Times New Roman" w:cs="Times New Roman"/>
          <w:b/>
          <w:bCs/>
          <w:noProof/>
          <w:lang w:val="vi-VN"/>
        </w:rPr>
        <w:t>4</w:t>
      </w:r>
      <w:r w:rsidRPr="00D937B0">
        <w:rPr>
          <w:rFonts w:ascii="Times New Roman" w:hAnsi="Times New Roman" w:cs="Times New Roman"/>
          <w:b/>
          <w:bCs/>
          <w:noProof/>
        </w:rPr>
        <w:t>: Histogram of India GDP Growth (1991 – 2024)</w:t>
      </w:r>
    </w:p>
    <w:p w14:paraId="768E708C" w14:textId="77777777" w:rsidR="00407865" w:rsidRDefault="00407865" w:rsidP="00407865">
      <w:pPr>
        <w:spacing w:after="0" w:line="276" w:lineRule="auto"/>
        <w:jc w:val="both"/>
        <w:rPr>
          <w:rFonts w:ascii="Times New Roman" w:eastAsia="Arial" w:hAnsi="Times New Roman" w:cs="Times New Roman"/>
          <w:lang w:val="vi-VN"/>
        </w:rPr>
      </w:pPr>
      <w:r>
        <w:rPr>
          <w:rFonts w:ascii="Times New Roman" w:eastAsia="Arial" w:hAnsi="Times New Roman" w:cs="Times New Roman"/>
        </w:rPr>
        <w:lastRenderedPageBreak/>
        <w:t>Chart</w:t>
      </w:r>
      <w:r>
        <w:rPr>
          <w:rFonts w:ascii="Times New Roman" w:eastAsia="Arial" w:hAnsi="Times New Roman" w:cs="Times New Roman"/>
          <w:lang w:val="vi-VN"/>
        </w:rPr>
        <w:t xml:space="preserve"> 4</w:t>
      </w:r>
      <w:r w:rsidRPr="00D937B0">
        <w:rPr>
          <w:rFonts w:ascii="Times New Roman" w:eastAsia="Arial" w:hAnsi="Times New Roman" w:cs="Times New Roman"/>
        </w:rPr>
        <w:t xml:space="preserve"> illustrates the frequency distribution of the specific observed variable. It exhibits a predominantly normal, bell-shaped curve centered near zero, though slightly skewed. The concentration of data around the mean indicates typical market conditions, while fat tails reveal occasional extreme volatility and significant economic shocks during the studied timeframe.</w:t>
      </w:r>
    </w:p>
    <w:p w14:paraId="5180A0DF" w14:textId="77777777" w:rsidR="00407865" w:rsidRPr="00AF4CE5" w:rsidRDefault="00407865" w:rsidP="00407865">
      <w:pPr>
        <w:spacing w:after="0" w:line="276" w:lineRule="auto"/>
        <w:jc w:val="both"/>
        <w:rPr>
          <w:rFonts w:ascii="Times New Roman" w:eastAsia="Arial" w:hAnsi="Times New Roman" w:cs="Times New Roman"/>
          <w:lang w:val="vi-VN"/>
        </w:rPr>
      </w:pPr>
    </w:p>
    <w:p w14:paraId="4EA86826" w14:textId="77777777" w:rsidR="00407865" w:rsidRDefault="00407865" w:rsidP="00407865">
      <w:pPr>
        <w:spacing w:after="0" w:line="276" w:lineRule="auto"/>
        <w:jc w:val="center"/>
        <w:rPr>
          <w:rFonts w:ascii="Times New Roman" w:eastAsia="Arial" w:hAnsi="Times New Roman" w:cs="Times New Roman"/>
          <w:lang w:val="vi-VN"/>
        </w:rPr>
      </w:pPr>
      <w:r>
        <w:rPr>
          <w:noProof/>
        </w:rPr>
        <mc:AlternateContent>
          <mc:Choice Requires="cx1">
            <w:drawing>
              <wp:inline distT="0" distB="0" distL="0" distR="0" wp14:anchorId="56A3C7F2" wp14:editId="643A629B">
                <wp:extent cx="4334400" cy="2678400"/>
                <wp:effectExtent l="0" t="0" r="9525" b="1905"/>
                <wp:docPr id="1063850911" name="Chart 1">
                  <a:extLst xmlns:a="http://schemas.openxmlformats.org/drawingml/2006/main">
                    <a:ext uri="{FF2B5EF4-FFF2-40B4-BE49-F238E27FC236}">
                      <a16:creationId xmlns:a16="http://schemas.microsoft.com/office/drawing/2014/main" id="{E0197CE5-E47B-1C6D-AC7C-E72B47F84A83}"/>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56A3C7F2" wp14:editId="643A629B">
                <wp:extent cx="4334400" cy="2678400"/>
                <wp:effectExtent l="0" t="0" r="9525" b="1905"/>
                <wp:docPr id="1063850911" name="Chart 1">
                  <a:extLst xmlns:a="http://schemas.openxmlformats.org/drawingml/2006/main">
                    <a:ext uri="{FF2B5EF4-FFF2-40B4-BE49-F238E27FC236}">
                      <a16:creationId xmlns:a16="http://schemas.microsoft.com/office/drawing/2014/main" id="{E0197CE5-E47B-1C6D-AC7C-E72B47F84A83}"/>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63850911" name="Chart 1">
                          <a:extLst>
                            <a:ext uri="{FF2B5EF4-FFF2-40B4-BE49-F238E27FC236}">
                              <a16:creationId xmlns:a16="http://schemas.microsoft.com/office/drawing/2014/main" id="{E0197CE5-E47B-1C6D-AC7C-E72B47F84A83}"/>
                            </a:ext>
                          </a:extLst>
                        </pic:cNvPr>
                        <pic:cNvPicPr>
                          <a:picLocks noGrp="1" noRot="1" noChangeAspect="1" noMove="1" noResize="1" noEditPoints="1" noAdjustHandles="1" noChangeArrowheads="1" noChangeShapeType="1"/>
                        </pic:cNvPicPr>
                      </pic:nvPicPr>
                      <pic:blipFill>
                        <a:blip r:embed="rId11"/>
                        <a:stretch>
                          <a:fillRect/>
                        </a:stretch>
                      </pic:blipFill>
                      <pic:spPr>
                        <a:xfrm>
                          <a:off x="0" y="0"/>
                          <a:ext cx="4333875" cy="2677795"/>
                        </a:xfrm>
                        <a:prstGeom prst="rect">
                          <a:avLst/>
                        </a:prstGeom>
                      </pic:spPr>
                    </pic:pic>
                  </a:graphicData>
                </a:graphic>
              </wp:inline>
            </w:drawing>
          </mc:Fallback>
        </mc:AlternateContent>
      </w:r>
    </w:p>
    <w:p w14:paraId="2DB04B2E" w14:textId="77777777" w:rsidR="00407865" w:rsidRDefault="00407865" w:rsidP="00407865">
      <w:pPr>
        <w:spacing w:after="0" w:line="276" w:lineRule="auto"/>
        <w:jc w:val="center"/>
        <w:rPr>
          <w:rFonts w:ascii="Times New Roman" w:eastAsia="Arial" w:hAnsi="Times New Roman" w:cs="Times New Roman"/>
          <w:b/>
          <w:bCs/>
          <w:lang w:val="vi-VN"/>
        </w:rPr>
      </w:pPr>
      <w:r w:rsidRPr="00AF4CE5">
        <w:rPr>
          <w:rFonts w:ascii="Times New Roman" w:eastAsia="Arial" w:hAnsi="Times New Roman" w:cs="Times New Roman"/>
          <w:b/>
          <w:bCs/>
          <w:lang w:val="vi-VN"/>
        </w:rPr>
        <w:t>Chart 5: Box plot – Real Stock Returns of USA and India (Dots = Outliers)</w:t>
      </w:r>
    </w:p>
    <w:p w14:paraId="5F40E13A" w14:textId="77777777" w:rsidR="00407865" w:rsidRDefault="00407865" w:rsidP="00407865">
      <w:pPr>
        <w:spacing w:before="90" w:after="90"/>
        <w:jc w:val="both"/>
        <w:rPr>
          <w:rFonts w:ascii="Times New Roman" w:eastAsia="Arial" w:hAnsi="Times New Roman" w:cs="Times New Roman"/>
          <w:lang w:val="vi-VN"/>
        </w:rPr>
      </w:pPr>
      <w:r w:rsidRPr="00AF4CE5">
        <w:rPr>
          <w:rFonts w:ascii="Times New Roman" w:eastAsia="Arial" w:hAnsi="Times New Roman" w:cs="Times New Roman"/>
        </w:rPr>
        <w:t xml:space="preserve">Chart </w:t>
      </w:r>
      <w:r>
        <w:rPr>
          <w:rFonts w:ascii="Times New Roman" w:eastAsia="Arial" w:hAnsi="Times New Roman" w:cs="Times New Roman"/>
          <w:lang w:val="vi-VN"/>
        </w:rPr>
        <w:t>5</w:t>
      </w:r>
      <w:r w:rsidRPr="00AF4CE5">
        <w:rPr>
          <w:rFonts w:ascii="Times New Roman" w:eastAsia="Arial" w:hAnsi="Times New Roman" w:cs="Times New Roman"/>
        </w:rPr>
        <w:t xml:space="preserve"> allows precise comparison of spread and outliers for stock returns. For the USA, the interquartile range covers roughly −5% to 20%, and the median sits at 7.74%. Two lower outliers are annotated: 2008 (−52.43%) and 1974 (−46.32%), both far below the lower whisker. For India, the 2008 observation (−81.32%) appears as a dramatic isolated dot nearly 30 pp below the next worst year. Three positive outliers sit above the upper whisker. The Indian box is slightly wider than the USA box, confirming its higher IQR. Box plots complement the histograms by showing each outlier as a named point rather than a bar.</w:t>
      </w:r>
      <w:r>
        <w:rPr>
          <w:rFonts w:ascii="Times New Roman" w:eastAsia="Arial" w:hAnsi="Times New Roman" w:cs="Times New Roman"/>
          <w:lang w:val="vi-VN"/>
        </w:rPr>
        <w:t xml:space="preserve"> </w:t>
      </w:r>
    </w:p>
    <w:p w14:paraId="570D4CC7" w14:textId="77777777" w:rsidR="00407865" w:rsidRDefault="00407865" w:rsidP="00407865">
      <w:pPr>
        <w:spacing w:before="90" w:after="90"/>
        <w:jc w:val="both"/>
        <w:rPr>
          <w:rFonts w:ascii="Times New Roman" w:eastAsia="Arial" w:hAnsi="Times New Roman" w:cs="Times New Roman"/>
          <w:lang w:val="vi-VN"/>
        </w:rPr>
      </w:pPr>
    </w:p>
    <w:p w14:paraId="34475EE9" w14:textId="77777777" w:rsidR="00407865" w:rsidRDefault="00407865" w:rsidP="00407865">
      <w:pPr>
        <w:spacing w:before="90" w:after="90"/>
        <w:jc w:val="center"/>
        <w:rPr>
          <w:rFonts w:ascii="Times New Roman" w:eastAsia="Arial" w:hAnsi="Times New Roman" w:cs="Times New Roman"/>
          <w:lang w:val="vi-VN"/>
        </w:rPr>
      </w:pPr>
      <w:r>
        <w:rPr>
          <w:noProof/>
        </w:rPr>
        <w:lastRenderedPageBreak/>
        <mc:AlternateContent>
          <mc:Choice Requires="cx1">
            <w:drawing>
              <wp:inline distT="0" distB="0" distL="0" distR="0" wp14:anchorId="2EE5D064" wp14:editId="41785E60">
                <wp:extent cx="4334400" cy="2678400"/>
                <wp:effectExtent l="0" t="0" r="9525" b="1905"/>
                <wp:docPr id="1558256304" name="Chart 1">
                  <a:extLst xmlns:a="http://schemas.openxmlformats.org/drawingml/2006/main">
                    <a:ext uri="{FF2B5EF4-FFF2-40B4-BE49-F238E27FC236}">
                      <a16:creationId xmlns:a16="http://schemas.microsoft.com/office/drawing/2014/main" id="{0462BA91-5133-D15A-B883-BC4AF475414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2EE5D064" wp14:editId="41785E60">
                <wp:extent cx="4334400" cy="2678400"/>
                <wp:effectExtent l="0" t="0" r="9525" b="1905"/>
                <wp:docPr id="1558256304" name="Chart 1">
                  <a:extLst xmlns:a="http://schemas.openxmlformats.org/drawingml/2006/main">
                    <a:ext uri="{FF2B5EF4-FFF2-40B4-BE49-F238E27FC236}">
                      <a16:creationId xmlns:a16="http://schemas.microsoft.com/office/drawing/2014/main" id="{0462BA91-5133-D15A-B883-BC4AF475414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58256304" name="Chart 1">
                          <a:extLst>
                            <a:ext uri="{FF2B5EF4-FFF2-40B4-BE49-F238E27FC236}">
                              <a16:creationId xmlns:a16="http://schemas.microsoft.com/office/drawing/2014/main" id="{0462BA91-5133-D15A-B883-BC4AF4754147}"/>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4333875" cy="2677795"/>
                        </a:xfrm>
                        <a:prstGeom prst="rect">
                          <a:avLst/>
                        </a:prstGeom>
                      </pic:spPr>
                    </pic:pic>
                  </a:graphicData>
                </a:graphic>
              </wp:inline>
            </w:drawing>
          </mc:Fallback>
        </mc:AlternateContent>
      </w:r>
    </w:p>
    <w:p w14:paraId="3110EAB6" w14:textId="77777777" w:rsidR="00407865" w:rsidRDefault="00407865" w:rsidP="00407865">
      <w:pPr>
        <w:spacing w:before="90" w:after="90"/>
        <w:jc w:val="center"/>
        <w:rPr>
          <w:rFonts w:ascii="Times New Roman" w:eastAsia="Arial" w:hAnsi="Times New Roman" w:cs="Times New Roman"/>
          <w:b/>
          <w:bCs/>
          <w:lang w:val="vi-VN"/>
        </w:rPr>
      </w:pPr>
      <w:r w:rsidRPr="007805F8">
        <w:rPr>
          <w:rFonts w:ascii="Times New Roman" w:eastAsia="Arial" w:hAnsi="Times New Roman" w:cs="Times New Roman"/>
          <w:b/>
          <w:bCs/>
          <w:lang w:val="vi-VN"/>
        </w:rPr>
        <w:t>Chart 6: Box plot – GDP per capita Growth of USA and India (Dots = Outliers)</w:t>
      </w:r>
    </w:p>
    <w:p w14:paraId="71090854" w14:textId="77777777" w:rsidR="00407865" w:rsidRPr="00F90D9F" w:rsidRDefault="00407865" w:rsidP="00407865">
      <w:pPr>
        <w:spacing w:before="90" w:after="90"/>
        <w:jc w:val="both"/>
        <w:rPr>
          <w:rFonts w:ascii="Times New Roman" w:eastAsia="Arial" w:hAnsi="Times New Roman" w:cs="Times New Roman"/>
          <w:lang w:val="vi-VN"/>
        </w:rPr>
      </w:pPr>
      <w:r w:rsidRPr="00F90D9F">
        <w:rPr>
          <w:rFonts w:ascii="Times New Roman" w:eastAsia="Arial" w:hAnsi="Times New Roman" w:cs="Times New Roman"/>
          <w:lang w:val="vi-VN"/>
        </w:rPr>
        <w:t>Chart 6 compares GDP growth box plots. The extremely compact USA box concentrates between 1% and 4%, showing only two lower outliers of negative 3.49% in 2009 and negative 2.60% in 2020. India's box sits higher with a 5.28% median, reflecting structural growth advantages, but features a dominant negative 6.92% downside outlier in 2020 and an exceptional 8.43% upper outlier in 2021. Alongside the histograms in Charts 2 and 4, these plots confirm India's superior average growth carries substantially higher tail risk. Relative to normal growth bands, India's 2020 shock was far more severe than the 2009 US recession.</w:t>
      </w:r>
    </w:p>
    <w:p w14:paraId="029171E9" w14:textId="77777777" w:rsidR="00407865" w:rsidRDefault="00407865" w:rsidP="00407865">
      <w:pPr>
        <w:pStyle w:val="ListParagraph"/>
        <w:numPr>
          <w:ilvl w:val="0"/>
          <w:numId w:val="1"/>
        </w:numPr>
        <w:spacing w:before="90" w:after="90"/>
        <w:jc w:val="both"/>
        <w:rPr>
          <w:rFonts w:ascii="Times New Roman" w:eastAsia="Arial" w:hAnsi="Times New Roman" w:cs="Times New Roman"/>
          <w:b/>
          <w:bCs/>
          <w:lang w:val="vi-VN"/>
        </w:rPr>
      </w:pPr>
      <w:r w:rsidRPr="00A90B30">
        <w:rPr>
          <w:rFonts w:ascii="Times New Roman" w:eastAsia="Arial" w:hAnsi="Times New Roman" w:cs="Times New Roman"/>
          <w:b/>
          <w:bCs/>
          <w:lang w:val="vi-VN"/>
        </w:rPr>
        <w:t>Correlation and scatter</w:t>
      </w:r>
    </w:p>
    <w:p w14:paraId="20CBA0A2" w14:textId="77777777" w:rsidR="00407865" w:rsidRDefault="00407865" w:rsidP="00407865">
      <w:pPr>
        <w:spacing w:before="90" w:after="90"/>
        <w:jc w:val="both"/>
        <w:rPr>
          <w:rFonts w:ascii="Times New Roman" w:eastAsia="Arial" w:hAnsi="Times New Roman" w:cs="Times New Roman"/>
          <w:lang w:val="vi-VN"/>
        </w:rPr>
      </w:pPr>
      <w:r w:rsidRPr="00380438">
        <w:rPr>
          <w:rFonts w:ascii="Times New Roman" w:eastAsia="Arial" w:hAnsi="Times New Roman" w:cs="Times New Roman"/>
        </w:rPr>
        <w:t>Table 2 reports the Pearson correlation coefficient between lagged stock returns r(t−1) and current-year GDP growth Dy(t).</w:t>
      </w:r>
    </w:p>
    <w:p w14:paraId="3EDE280B" w14:textId="77777777" w:rsidR="00407865" w:rsidRDefault="00407865" w:rsidP="00407865">
      <w:pPr>
        <w:spacing w:before="90" w:after="90"/>
        <w:jc w:val="center"/>
        <w:rPr>
          <w:rFonts w:ascii="Times New Roman" w:eastAsia="Arial" w:hAnsi="Times New Roman" w:cs="Times New Roman"/>
          <w:lang w:val="vi-VN"/>
        </w:rPr>
      </w:pPr>
      <w:r w:rsidRPr="00AB34AB">
        <w:rPr>
          <w:rFonts w:ascii="Times New Roman" w:eastAsia="Arial" w:hAnsi="Times New Roman" w:cs="Times New Roman"/>
          <w:lang w:val="vi-VN"/>
        </w:rPr>
        <w:drawing>
          <wp:inline distT="0" distB="0" distL="0" distR="0" wp14:anchorId="41C95EBE" wp14:editId="65447F01">
            <wp:extent cx="4334400" cy="707582"/>
            <wp:effectExtent l="0" t="0" r="0" b="3810"/>
            <wp:docPr id="68517039" name="Picture 1" descr="A blue and white labe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7039" name="Picture 1" descr="A blue and white label with white text&#10;&#10;AI-generated content may be incorrect."/>
                    <pic:cNvPicPr/>
                  </pic:nvPicPr>
                  <pic:blipFill>
                    <a:blip r:embed="rId14"/>
                    <a:stretch>
                      <a:fillRect/>
                    </a:stretch>
                  </pic:blipFill>
                  <pic:spPr>
                    <a:xfrm>
                      <a:off x="0" y="0"/>
                      <a:ext cx="4334400" cy="707582"/>
                    </a:xfrm>
                    <a:prstGeom prst="rect">
                      <a:avLst/>
                    </a:prstGeom>
                  </pic:spPr>
                </pic:pic>
              </a:graphicData>
            </a:graphic>
          </wp:inline>
        </w:drawing>
      </w:r>
    </w:p>
    <w:p w14:paraId="6BB2F985" w14:textId="77777777" w:rsidR="00407865" w:rsidRPr="003122A9" w:rsidRDefault="00407865" w:rsidP="00407865">
      <w:pPr>
        <w:spacing w:before="90" w:after="90"/>
        <w:jc w:val="both"/>
        <w:rPr>
          <w:rFonts w:ascii="Times New Roman" w:eastAsia="Arial" w:hAnsi="Times New Roman" w:cs="Times New Roman"/>
        </w:rPr>
      </w:pPr>
      <w:r w:rsidRPr="003122A9">
        <w:rPr>
          <w:rFonts w:ascii="Times New Roman" w:eastAsia="Arial" w:hAnsi="Times New Roman" w:cs="Times New Roman"/>
        </w:rPr>
        <w:t>The two coefficients contrast sharply. For the USA: r = 0.505 (n = 63)</w:t>
      </w:r>
      <w:r>
        <w:rPr>
          <w:rFonts w:ascii="Times New Roman" w:eastAsia="Arial" w:hAnsi="Times New Roman" w:cs="Times New Roman"/>
          <w:lang w:val="vi-VN"/>
        </w:rPr>
        <w:t>,</w:t>
      </w:r>
      <w:r w:rsidRPr="003122A9">
        <w:rPr>
          <w:rFonts w:ascii="Times New Roman" w:eastAsia="Arial" w:hAnsi="Times New Roman" w:cs="Times New Roman"/>
        </w:rPr>
        <w:t xml:space="preserve"> a moderate positive relationship. When last year's S&amp;P 500 performed well, this year's GDP growth tended to be above average. The direction is positive</w:t>
      </w:r>
      <w:r>
        <w:rPr>
          <w:rFonts w:ascii="Times New Roman" w:eastAsia="Arial" w:hAnsi="Times New Roman" w:cs="Times New Roman"/>
          <w:lang w:val="vi-VN"/>
        </w:rPr>
        <w:t xml:space="preserve"> </w:t>
      </w:r>
      <w:r w:rsidRPr="003122A9">
        <w:rPr>
          <w:rFonts w:ascii="Times New Roman" w:eastAsia="Arial" w:hAnsi="Times New Roman" w:cs="Times New Roman"/>
        </w:rPr>
        <w:t>and the strength is economically meaningful. Squaring this coefficient yields approximately the R² of 0.255 obtained in the regression. For India: r = −0.065 (n = 33)</w:t>
      </w:r>
      <w:r>
        <w:rPr>
          <w:rFonts w:ascii="Times New Roman" w:eastAsia="Arial" w:hAnsi="Times New Roman" w:cs="Times New Roman"/>
          <w:lang w:val="vi-VN"/>
        </w:rPr>
        <w:t>,</w:t>
      </w:r>
      <w:r w:rsidRPr="003122A9">
        <w:rPr>
          <w:rFonts w:ascii="Times New Roman" w:eastAsia="Arial" w:hAnsi="Times New Roman" w:cs="Times New Roman"/>
        </w:rPr>
        <w:t xml:space="preserve"> </w:t>
      </w:r>
      <w:r>
        <w:rPr>
          <w:rFonts w:ascii="Times New Roman" w:eastAsia="Arial" w:hAnsi="Times New Roman" w:cs="Times New Roman"/>
          <w:lang w:val="vi-VN"/>
        </w:rPr>
        <w:t>t</w:t>
      </w:r>
      <w:r w:rsidRPr="003122A9">
        <w:rPr>
          <w:rFonts w:ascii="Times New Roman" w:eastAsia="Arial" w:hAnsi="Times New Roman" w:cs="Times New Roman"/>
        </w:rPr>
        <w:t>he value is so close to zero that it is economically and statistically meaningless. The pattern for India is not merely weak</w:t>
      </w:r>
      <w:r>
        <w:rPr>
          <w:rFonts w:ascii="Times New Roman" w:eastAsia="Arial" w:hAnsi="Times New Roman" w:cs="Times New Roman"/>
          <w:lang w:val="vi-VN"/>
        </w:rPr>
        <w:t>,</w:t>
      </w:r>
      <w:r w:rsidRPr="003122A9">
        <w:rPr>
          <w:rFonts w:ascii="Times New Roman" w:eastAsia="Arial" w:hAnsi="Times New Roman" w:cs="Times New Roman"/>
        </w:rPr>
        <w:t xml:space="preserve"> it is genuinely absent.</w:t>
      </w:r>
    </w:p>
    <w:p w14:paraId="4C1B671D" w14:textId="77777777" w:rsidR="00407865" w:rsidRDefault="00407865" w:rsidP="00407865">
      <w:pPr>
        <w:spacing w:after="0" w:line="240" w:lineRule="auto"/>
        <w:jc w:val="center"/>
        <w:rPr>
          <w:rFonts w:ascii="Times New Roman" w:eastAsia="Arial" w:hAnsi="Times New Roman" w:cs="Times New Roman"/>
          <w:lang w:val="vi-VN"/>
        </w:rPr>
      </w:pPr>
      <w:r>
        <w:rPr>
          <w:noProof/>
        </w:rPr>
        <w:lastRenderedPageBreak/>
        <w:drawing>
          <wp:inline distT="0" distB="0" distL="0" distR="0" wp14:anchorId="0FC93D5B" wp14:editId="3643866E">
            <wp:extent cx="4334400" cy="2678400"/>
            <wp:effectExtent l="0" t="0" r="9525" b="14605"/>
            <wp:docPr id="1854652355" name="Chart 1">
              <a:extLst xmlns:a="http://schemas.openxmlformats.org/drawingml/2006/main">
                <a:ext uri="{FF2B5EF4-FFF2-40B4-BE49-F238E27FC236}">
                  <a16:creationId xmlns:a16="http://schemas.microsoft.com/office/drawing/2014/main" id="{20F90B20-ACB1-BA6E-6CD1-A6DE038D5B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24FB0DB" w14:textId="77777777" w:rsidR="00407865" w:rsidRDefault="00407865" w:rsidP="00407865">
      <w:pPr>
        <w:spacing w:after="0" w:line="240" w:lineRule="auto"/>
        <w:jc w:val="center"/>
        <w:rPr>
          <w:rFonts w:ascii="Times New Roman" w:eastAsia="Arial" w:hAnsi="Times New Roman" w:cs="Times New Roman"/>
          <w:b/>
          <w:bCs/>
          <w:lang w:val="vi-VN"/>
        </w:rPr>
      </w:pPr>
      <w:r w:rsidRPr="003122A9">
        <w:rPr>
          <w:rFonts w:ascii="Times New Roman" w:eastAsia="Arial" w:hAnsi="Times New Roman" w:cs="Times New Roman"/>
          <w:b/>
          <w:bCs/>
          <w:lang w:val="vi-VN"/>
        </w:rPr>
        <w:t>Chart 7: Scatter – USA Lagged Stock Returns and GDP Growth</w:t>
      </w:r>
    </w:p>
    <w:p w14:paraId="56409BEC" w14:textId="77777777" w:rsidR="00407865" w:rsidRPr="003122A9" w:rsidRDefault="00407865" w:rsidP="00407865">
      <w:pPr>
        <w:spacing w:before="90" w:after="90"/>
        <w:jc w:val="both"/>
        <w:rPr>
          <w:rFonts w:ascii="Times New Roman" w:eastAsia="Arial" w:hAnsi="Times New Roman" w:cs="Times New Roman"/>
        </w:rPr>
      </w:pPr>
      <w:r w:rsidRPr="003122A9">
        <w:rPr>
          <w:rFonts w:ascii="Times New Roman" w:eastAsia="Arial" w:hAnsi="Times New Roman" w:cs="Times New Roman"/>
        </w:rPr>
        <w:t xml:space="preserve">Chart </w:t>
      </w:r>
      <w:r>
        <w:rPr>
          <w:rFonts w:ascii="Times New Roman" w:eastAsia="Arial" w:hAnsi="Times New Roman" w:cs="Times New Roman"/>
          <w:lang w:val="vi-VN"/>
        </w:rPr>
        <w:t>7</w:t>
      </w:r>
      <w:r w:rsidRPr="003122A9">
        <w:rPr>
          <w:rFonts w:ascii="Times New Roman" w:eastAsia="Arial" w:hAnsi="Times New Roman" w:cs="Times New Roman"/>
        </w:rPr>
        <w:t xml:space="preserve"> shows a clear upward-sloping OLS trend line for the USA. The direction is positive and the strength is moderate</w:t>
      </w:r>
      <w:r>
        <w:rPr>
          <w:rFonts w:ascii="Times New Roman" w:eastAsia="Arial" w:hAnsi="Times New Roman" w:cs="Times New Roman"/>
          <w:lang w:val="vi-VN"/>
        </w:rPr>
        <w:t>,</w:t>
      </w:r>
      <w:r w:rsidRPr="003122A9">
        <w:rPr>
          <w:rFonts w:ascii="Times New Roman" w:eastAsia="Arial" w:hAnsi="Times New Roman" w:cs="Times New Roman"/>
        </w:rPr>
        <w:t xml:space="preserve"> points scatter around the line with considerable noise, but the trend is unmistakable. The most influential point is 2008</w:t>
      </w:r>
      <w:r>
        <w:rPr>
          <w:rFonts w:ascii="Times New Roman" w:eastAsia="Arial" w:hAnsi="Times New Roman" w:cs="Times New Roman"/>
          <w:lang w:val="vi-VN"/>
        </w:rPr>
        <w:t xml:space="preserve"> to </w:t>
      </w:r>
      <w:r w:rsidRPr="003122A9">
        <w:rPr>
          <w:rFonts w:ascii="Times New Roman" w:eastAsia="Arial" w:hAnsi="Times New Roman" w:cs="Times New Roman"/>
        </w:rPr>
        <w:t>2009: the worst annual return (−52.4%) was followed by the deepest recession (−3.49% GDP)</w:t>
      </w:r>
      <w:r>
        <w:rPr>
          <w:rFonts w:ascii="Times New Roman" w:eastAsia="Arial" w:hAnsi="Times New Roman" w:cs="Times New Roman"/>
          <w:lang w:val="vi-VN"/>
        </w:rPr>
        <w:t>,</w:t>
      </w:r>
      <w:r w:rsidRPr="003122A9">
        <w:rPr>
          <w:rFonts w:ascii="Times New Roman" w:eastAsia="Arial" w:hAnsi="Times New Roman" w:cs="Times New Roman"/>
        </w:rPr>
        <w:t xml:space="preserve"> exactly what the leading-indicator hypothesis predicts. The R² = 0.255 means lagged returns explain about 25% of GDP variation, leaving 75% unexplained. The relationship is predictive but imperfect</w:t>
      </w:r>
      <w:r>
        <w:rPr>
          <w:rFonts w:ascii="Times New Roman" w:eastAsia="Arial" w:hAnsi="Times New Roman" w:cs="Times New Roman"/>
          <w:lang w:val="vi-VN"/>
        </w:rPr>
        <w:t>,</w:t>
      </w:r>
      <w:r w:rsidRPr="003122A9">
        <w:rPr>
          <w:rFonts w:ascii="Times New Roman" w:eastAsia="Arial" w:hAnsi="Times New Roman" w:cs="Times New Roman"/>
        </w:rPr>
        <w:t xml:space="preserve"> consistent with Samuelson's famous quip that the stock market has predicted nine out of the last five recessions (Mauro, 2003).</w:t>
      </w:r>
    </w:p>
    <w:p w14:paraId="07AA88D3" w14:textId="77777777" w:rsidR="00407865" w:rsidRDefault="00407865" w:rsidP="00407865">
      <w:pPr>
        <w:spacing w:after="0" w:line="240" w:lineRule="auto"/>
        <w:jc w:val="center"/>
        <w:rPr>
          <w:rFonts w:ascii="Times New Roman" w:eastAsia="Arial" w:hAnsi="Times New Roman" w:cs="Times New Roman"/>
          <w:lang w:val="vi-VN"/>
        </w:rPr>
      </w:pPr>
      <w:r>
        <w:rPr>
          <w:noProof/>
        </w:rPr>
        <w:drawing>
          <wp:inline distT="0" distB="0" distL="0" distR="0" wp14:anchorId="5788F08B" wp14:editId="3B80E262">
            <wp:extent cx="4334400" cy="2678505"/>
            <wp:effectExtent l="0" t="0" r="9525" b="13970"/>
            <wp:docPr id="985219842" name="Chart 1">
              <a:extLst xmlns:a="http://schemas.openxmlformats.org/drawingml/2006/main">
                <a:ext uri="{FF2B5EF4-FFF2-40B4-BE49-F238E27FC236}">
                  <a16:creationId xmlns:a16="http://schemas.microsoft.com/office/drawing/2014/main" id="{293DD2A1-D1A6-C409-2209-25D3A0B06B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44FC332" w14:textId="77777777" w:rsidR="00407865" w:rsidRDefault="00407865" w:rsidP="00407865">
      <w:pPr>
        <w:spacing w:after="0" w:line="240" w:lineRule="auto"/>
        <w:jc w:val="center"/>
        <w:rPr>
          <w:rFonts w:ascii="Times New Roman" w:eastAsia="Arial" w:hAnsi="Times New Roman" w:cs="Times New Roman"/>
          <w:b/>
          <w:bCs/>
          <w:lang w:val="vi-VN"/>
        </w:rPr>
      </w:pPr>
      <w:r w:rsidRPr="003122A9">
        <w:rPr>
          <w:rFonts w:ascii="Times New Roman" w:eastAsia="Arial" w:hAnsi="Times New Roman" w:cs="Times New Roman"/>
          <w:b/>
          <w:bCs/>
          <w:lang w:val="vi-VN"/>
        </w:rPr>
        <w:t xml:space="preserve">Chart </w:t>
      </w:r>
      <w:r>
        <w:rPr>
          <w:rFonts w:ascii="Times New Roman" w:eastAsia="Arial" w:hAnsi="Times New Roman" w:cs="Times New Roman"/>
          <w:b/>
          <w:bCs/>
          <w:lang w:val="vi-VN"/>
        </w:rPr>
        <w:t>8</w:t>
      </w:r>
      <w:r w:rsidRPr="003122A9">
        <w:rPr>
          <w:rFonts w:ascii="Times New Roman" w:eastAsia="Arial" w:hAnsi="Times New Roman" w:cs="Times New Roman"/>
          <w:b/>
          <w:bCs/>
          <w:lang w:val="vi-VN"/>
        </w:rPr>
        <w:t xml:space="preserve">: Scatter – </w:t>
      </w:r>
      <w:r>
        <w:rPr>
          <w:rFonts w:ascii="Times New Roman" w:eastAsia="Arial" w:hAnsi="Times New Roman" w:cs="Times New Roman"/>
          <w:b/>
          <w:bCs/>
          <w:lang w:val="vi-VN"/>
        </w:rPr>
        <w:t>India</w:t>
      </w:r>
      <w:r w:rsidRPr="003122A9">
        <w:rPr>
          <w:rFonts w:ascii="Times New Roman" w:eastAsia="Arial" w:hAnsi="Times New Roman" w:cs="Times New Roman"/>
          <w:b/>
          <w:bCs/>
          <w:lang w:val="vi-VN"/>
        </w:rPr>
        <w:t xml:space="preserve"> Lagged Stock Returns and GDP Growth</w:t>
      </w:r>
    </w:p>
    <w:p w14:paraId="73002602" w14:textId="77777777" w:rsidR="00407865" w:rsidRDefault="00407865" w:rsidP="00407865">
      <w:pPr>
        <w:spacing w:before="90" w:after="90"/>
        <w:jc w:val="both"/>
        <w:rPr>
          <w:rFonts w:ascii="Times New Roman" w:eastAsia="Arial" w:hAnsi="Times New Roman" w:cs="Times New Roman"/>
          <w:lang w:val="vi-VN"/>
        </w:rPr>
      </w:pPr>
      <w:r w:rsidRPr="003122A9">
        <w:rPr>
          <w:rFonts w:ascii="Times New Roman" w:eastAsia="Arial" w:hAnsi="Times New Roman" w:cs="Times New Roman"/>
        </w:rPr>
        <w:t xml:space="preserve">Chart </w:t>
      </w:r>
      <w:r>
        <w:rPr>
          <w:rFonts w:ascii="Times New Roman" w:eastAsia="Arial" w:hAnsi="Times New Roman" w:cs="Times New Roman"/>
          <w:lang w:val="vi-VN"/>
        </w:rPr>
        <w:t>8</w:t>
      </w:r>
      <w:r w:rsidRPr="003122A9">
        <w:rPr>
          <w:rFonts w:ascii="Times New Roman" w:eastAsia="Arial" w:hAnsi="Times New Roman" w:cs="Times New Roman"/>
        </w:rPr>
        <w:t xml:space="preserve"> shows a near-horizontal cloud of points for India</w:t>
      </w:r>
      <w:r>
        <w:rPr>
          <w:rFonts w:ascii="Times New Roman" w:eastAsia="Arial" w:hAnsi="Times New Roman" w:cs="Times New Roman"/>
          <w:lang w:val="vi-VN"/>
        </w:rPr>
        <w:t>,</w:t>
      </w:r>
      <w:r w:rsidRPr="003122A9">
        <w:rPr>
          <w:rFonts w:ascii="Times New Roman" w:eastAsia="Arial" w:hAnsi="Times New Roman" w:cs="Times New Roman"/>
        </w:rPr>
        <w:t xml:space="preserve"> the pattern is very weak, in fact absent. The OLS trend line is nearly flat. The most telling point is 2008</w:t>
      </w:r>
      <w:r>
        <w:rPr>
          <w:rFonts w:ascii="Times New Roman" w:eastAsia="Arial" w:hAnsi="Times New Roman" w:cs="Times New Roman"/>
          <w:lang w:val="vi-VN"/>
        </w:rPr>
        <w:t xml:space="preserve"> to </w:t>
      </w:r>
      <w:r w:rsidRPr="003122A9">
        <w:rPr>
          <w:rFonts w:ascii="Times New Roman" w:eastAsia="Arial" w:hAnsi="Times New Roman" w:cs="Times New Roman"/>
        </w:rPr>
        <w:t>2009: despite the catastrophic −81.3% Nifty return in 2008, India's GDP grew 6.12% in 2009, buffered by domestic consumption and fiscal stimulus. This single point sits in the top-left quadrant</w:t>
      </w:r>
      <w:r>
        <w:rPr>
          <w:rFonts w:ascii="Times New Roman" w:eastAsia="Arial" w:hAnsi="Times New Roman" w:cs="Times New Roman"/>
          <w:lang w:val="vi-VN"/>
        </w:rPr>
        <w:t xml:space="preserve">, </w:t>
      </w:r>
      <w:r w:rsidRPr="003122A9">
        <w:rPr>
          <w:rFonts w:ascii="Times New Roman" w:eastAsia="Arial" w:hAnsi="Times New Roman" w:cs="Times New Roman"/>
        </w:rPr>
        <w:t>directly contradicting the leading-</w:t>
      </w:r>
      <w:r w:rsidRPr="003122A9">
        <w:rPr>
          <w:rFonts w:ascii="Times New Roman" w:eastAsia="Arial" w:hAnsi="Times New Roman" w:cs="Times New Roman"/>
        </w:rPr>
        <w:lastRenderedPageBreak/>
        <w:t>indicator hypothesis. The 2019</w:t>
      </w:r>
      <w:r>
        <w:rPr>
          <w:rFonts w:ascii="Times New Roman" w:eastAsia="Arial" w:hAnsi="Times New Roman" w:cs="Times New Roman"/>
          <w:lang w:val="vi-VN"/>
        </w:rPr>
        <w:t xml:space="preserve"> to </w:t>
      </w:r>
      <w:r w:rsidRPr="003122A9">
        <w:rPr>
          <w:rFonts w:ascii="Times New Roman" w:eastAsia="Arial" w:hAnsi="Times New Roman" w:cs="Times New Roman"/>
        </w:rPr>
        <w:t>2020 point shows the opposite problem: a modestly positive stock return in 2019 preceded a −6.92% GDP collapse caused by COVID lockdowns exogenous to financial markets. The R² of 0.004 confirms the pattern is genuinely absent for India.</w:t>
      </w:r>
    </w:p>
    <w:p w14:paraId="67BF1A8D" w14:textId="77777777" w:rsidR="00407865" w:rsidRDefault="00407865" w:rsidP="00407865">
      <w:pPr>
        <w:pStyle w:val="ListParagraph"/>
        <w:numPr>
          <w:ilvl w:val="0"/>
          <w:numId w:val="1"/>
        </w:numPr>
        <w:spacing w:before="90" w:after="90"/>
        <w:jc w:val="both"/>
        <w:rPr>
          <w:rFonts w:ascii="Times New Roman" w:eastAsia="Arial" w:hAnsi="Times New Roman" w:cs="Times New Roman"/>
          <w:b/>
          <w:bCs/>
          <w:lang w:val="vi-VN"/>
        </w:rPr>
      </w:pPr>
      <w:r w:rsidRPr="003122A9">
        <w:rPr>
          <w:rFonts w:ascii="Times New Roman" w:eastAsia="Arial" w:hAnsi="Times New Roman" w:cs="Times New Roman"/>
          <w:b/>
          <w:bCs/>
          <w:lang w:val="vi-VN"/>
        </w:rPr>
        <w:t>Primary regression</w:t>
      </w:r>
    </w:p>
    <w:p w14:paraId="296A8EC8" w14:textId="77777777" w:rsidR="00407865" w:rsidRPr="00345AD1" w:rsidRDefault="00407865" w:rsidP="00407865">
      <w:pPr>
        <w:spacing w:before="90" w:after="90"/>
        <w:jc w:val="both"/>
        <w:rPr>
          <w:rFonts w:ascii="Times New Roman" w:hAnsi="Times New Roman" w:cs="Times New Roman"/>
        </w:rPr>
      </w:pPr>
      <w:r w:rsidRPr="00345AD1">
        <w:rPr>
          <w:rFonts w:ascii="Times New Roman" w:eastAsia="Arial" w:hAnsi="Times New Roman" w:cs="Times New Roman"/>
        </w:rPr>
        <w:t>The primary regression estimates a linear relationship between current-year GDP growth and the previous year's real stock return, following the model shown in lectures:</w:t>
      </w:r>
    </w:p>
    <w:p w14:paraId="77F45649" w14:textId="77777777" w:rsidR="00407865" w:rsidRDefault="00407865" w:rsidP="00407865">
      <w:pPr>
        <w:spacing w:before="60" w:after="60"/>
        <w:jc w:val="center"/>
        <w:rPr>
          <w:rFonts w:ascii="Times New Roman" w:eastAsia="Arial" w:hAnsi="Times New Roman" w:cs="Times New Roman"/>
          <w:b/>
          <w:bCs/>
          <w:lang w:val="vi-VN"/>
        </w:rPr>
      </w:pPr>
      <w:r w:rsidRPr="00345AD1">
        <w:rPr>
          <w:rFonts w:ascii="Times New Roman" w:eastAsia="Arial" w:hAnsi="Times New Roman" w:cs="Times New Roman"/>
          <w:b/>
          <w:bCs/>
        </w:rPr>
        <w:t xml:space="preserve">Dy(t)  =  α  </w:t>
      </w:r>
      <w:r>
        <w:rPr>
          <w:rFonts w:ascii="Times New Roman" w:eastAsia="Arial" w:hAnsi="Times New Roman" w:cs="Times New Roman"/>
          <w:b/>
          <w:bCs/>
          <w:lang w:val="vi-VN"/>
        </w:rPr>
        <w:t>+</w:t>
      </w:r>
      <w:r w:rsidRPr="00345AD1">
        <w:rPr>
          <w:rFonts w:ascii="Times New Roman" w:eastAsia="Arial" w:hAnsi="Times New Roman" w:cs="Times New Roman"/>
          <w:b/>
          <w:bCs/>
        </w:rPr>
        <w:t xml:space="preserve">  β</w:t>
      </w:r>
      <w:r>
        <w:rPr>
          <w:rFonts w:ascii="Times New Roman" w:eastAsia="Arial" w:hAnsi="Times New Roman" w:cs="Times New Roman"/>
          <w:b/>
          <w:bCs/>
          <w:lang w:val="vi-VN"/>
        </w:rPr>
        <w:t xml:space="preserve"> . </w:t>
      </w:r>
      <w:r w:rsidRPr="00345AD1">
        <w:rPr>
          <w:rFonts w:ascii="Times New Roman" w:eastAsia="Arial" w:hAnsi="Times New Roman" w:cs="Times New Roman"/>
          <w:b/>
          <w:bCs/>
        </w:rPr>
        <w:t xml:space="preserve">r(t−1)  </w:t>
      </w:r>
      <w:r>
        <w:rPr>
          <w:rFonts w:ascii="Times New Roman" w:eastAsia="Arial" w:hAnsi="Times New Roman" w:cs="Times New Roman"/>
          <w:b/>
          <w:bCs/>
          <w:lang w:val="vi-VN"/>
        </w:rPr>
        <w:t>+</w:t>
      </w:r>
      <w:r w:rsidRPr="00345AD1">
        <w:rPr>
          <w:rFonts w:ascii="Times New Roman" w:eastAsia="Arial" w:hAnsi="Times New Roman" w:cs="Times New Roman"/>
          <w:b/>
          <w:bCs/>
        </w:rPr>
        <w:t xml:space="preserve">  ε(t)</w:t>
      </w:r>
    </w:p>
    <w:p w14:paraId="739F213B" w14:textId="77777777" w:rsidR="00407865" w:rsidRDefault="00407865" w:rsidP="00407865">
      <w:pPr>
        <w:spacing w:before="90" w:after="90"/>
        <w:jc w:val="center"/>
        <w:rPr>
          <w:rFonts w:ascii="Times New Roman" w:eastAsia="Arial" w:hAnsi="Times New Roman" w:cs="Times New Roman"/>
          <w:lang w:val="vi-VN"/>
        </w:rPr>
      </w:pPr>
      <w:r w:rsidRPr="00AB34AB">
        <w:rPr>
          <w:rFonts w:ascii="Times New Roman" w:eastAsia="Arial" w:hAnsi="Times New Roman" w:cs="Times New Roman"/>
          <w:lang w:val="vi-VN"/>
        </w:rPr>
        <w:drawing>
          <wp:inline distT="0" distB="0" distL="0" distR="0" wp14:anchorId="5A7993EE" wp14:editId="052CF27F">
            <wp:extent cx="4664241" cy="1332000"/>
            <wp:effectExtent l="0" t="0" r="0" b="1905"/>
            <wp:docPr id="779611289" name="Picture 1" descr="A blue and white tab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11289" name="Picture 1" descr="A blue and white table with numbers&#10;&#10;AI-generated content may be incorrect."/>
                    <pic:cNvPicPr/>
                  </pic:nvPicPr>
                  <pic:blipFill>
                    <a:blip r:embed="rId17"/>
                    <a:stretch>
                      <a:fillRect/>
                    </a:stretch>
                  </pic:blipFill>
                  <pic:spPr>
                    <a:xfrm>
                      <a:off x="0" y="0"/>
                      <a:ext cx="4664241" cy="1332000"/>
                    </a:xfrm>
                    <a:prstGeom prst="rect">
                      <a:avLst/>
                    </a:prstGeom>
                  </pic:spPr>
                </pic:pic>
              </a:graphicData>
            </a:graphic>
          </wp:inline>
        </w:drawing>
      </w:r>
    </w:p>
    <w:p w14:paraId="3ACAD83C" w14:textId="77777777" w:rsidR="00407865" w:rsidRPr="00624114" w:rsidRDefault="00407865" w:rsidP="00407865">
      <w:pPr>
        <w:spacing w:before="90" w:after="90"/>
        <w:jc w:val="both"/>
        <w:rPr>
          <w:rFonts w:ascii="Times New Roman" w:eastAsia="Arial" w:hAnsi="Times New Roman" w:cs="Times New Roman"/>
          <w:lang w:val="vi-VN"/>
        </w:rPr>
      </w:pPr>
      <w:r w:rsidRPr="00B635F9">
        <w:rPr>
          <w:rFonts w:ascii="Times New Roman" w:eastAsia="Arial" w:hAnsi="Times New Roman" w:cs="Times New Roman"/>
        </w:rPr>
        <w:t xml:space="preserve">For the </w:t>
      </w:r>
      <w:r w:rsidRPr="00624114">
        <w:rPr>
          <w:rFonts w:ascii="Times New Roman" w:eastAsia="Arial" w:hAnsi="Times New Roman" w:cs="Times New Roman"/>
        </w:rPr>
        <w:t>USA</w:t>
      </w:r>
      <w:r w:rsidRPr="00B635F9">
        <w:rPr>
          <w:rFonts w:ascii="Times New Roman" w:eastAsia="Arial" w:hAnsi="Times New Roman" w:cs="Times New Roman"/>
        </w:rPr>
        <w:t>, the coefficient β̂ = 0.059 means every 10 pp rise in lagged S&amp;P 500 returns predicts approximately 0.59 pp higher GDP growth the following year. The t-statistic of 4.57 (p &lt; 0.001) confirms the coefficient is clearly different from zero. R² = 0.255</w:t>
      </w:r>
      <w:r>
        <w:rPr>
          <w:rFonts w:ascii="Times New Roman" w:eastAsia="Arial" w:hAnsi="Times New Roman" w:cs="Times New Roman"/>
          <w:lang w:val="vi-VN"/>
        </w:rPr>
        <w:t>,</w:t>
      </w:r>
      <w:r w:rsidRPr="00B635F9">
        <w:rPr>
          <w:rFonts w:ascii="Times New Roman" w:eastAsia="Arial" w:hAnsi="Times New Roman" w:cs="Times New Roman"/>
        </w:rPr>
        <w:t xml:space="preserve"> lagged returns explain about 25% of the variation in US GDP growth, consistent with Mauro (2003). </w:t>
      </w:r>
      <w:r w:rsidRPr="00624114">
        <w:rPr>
          <w:rFonts w:ascii="Times New Roman" w:eastAsia="Arial" w:hAnsi="Times New Roman" w:cs="Times New Roman"/>
        </w:rPr>
        <w:t>The leading-indicator hypothesis is supported for the USA.</w:t>
      </w:r>
    </w:p>
    <w:p w14:paraId="12D63CC2" w14:textId="77777777" w:rsidR="00407865" w:rsidRPr="00624114" w:rsidRDefault="00407865" w:rsidP="00407865">
      <w:pPr>
        <w:spacing w:before="90" w:after="90"/>
        <w:jc w:val="both"/>
        <w:rPr>
          <w:rFonts w:ascii="Times New Roman" w:eastAsia="Arial" w:hAnsi="Times New Roman" w:cs="Times New Roman"/>
          <w:lang w:val="vi-VN"/>
        </w:rPr>
      </w:pPr>
      <w:r w:rsidRPr="00B635F9">
        <w:rPr>
          <w:rFonts w:ascii="Times New Roman" w:eastAsia="Arial" w:hAnsi="Times New Roman" w:cs="Times New Roman"/>
        </w:rPr>
        <w:t xml:space="preserve">For </w:t>
      </w:r>
      <w:r w:rsidRPr="00624114">
        <w:rPr>
          <w:rFonts w:ascii="Times New Roman" w:eastAsia="Arial" w:hAnsi="Times New Roman" w:cs="Times New Roman"/>
        </w:rPr>
        <w:t>India</w:t>
      </w:r>
      <w:r w:rsidRPr="00B635F9">
        <w:rPr>
          <w:rFonts w:ascii="Times New Roman" w:eastAsia="Arial" w:hAnsi="Times New Roman" w:cs="Times New Roman"/>
        </w:rPr>
        <w:t>, β̂ = −0.006 (t = −0.36, p = 0.720)</w:t>
      </w:r>
      <w:r>
        <w:rPr>
          <w:rFonts w:ascii="Times New Roman" w:eastAsia="Arial" w:hAnsi="Times New Roman" w:cs="Times New Roman"/>
          <w:lang w:val="vi-VN"/>
        </w:rPr>
        <w:t>,</w:t>
      </w:r>
      <w:r w:rsidRPr="00B635F9">
        <w:rPr>
          <w:rFonts w:ascii="Times New Roman" w:eastAsia="Arial" w:hAnsi="Times New Roman" w:cs="Times New Roman"/>
        </w:rPr>
        <w:t xml:space="preserve"> not different from zero at any significance level. R² = 0.004: lagged Nifty returns explain less than 0.5% of India's GDP variation. </w:t>
      </w:r>
      <w:r w:rsidRPr="00624114">
        <w:rPr>
          <w:rFonts w:ascii="Times New Roman" w:eastAsia="Arial" w:hAnsi="Times New Roman" w:cs="Times New Roman"/>
        </w:rPr>
        <w:t>The leading-indicator hypothesis is not supported for India.</w:t>
      </w:r>
    </w:p>
    <w:p w14:paraId="3FE5927A" w14:textId="77777777" w:rsidR="00407865" w:rsidRDefault="00407865" w:rsidP="00407865">
      <w:pPr>
        <w:pStyle w:val="ListParagraph"/>
        <w:numPr>
          <w:ilvl w:val="0"/>
          <w:numId w:val="1"/>
        </w:numPr>
        <w:spacing w:before="90" w:after="90" w:line="276" w:lineRule="auto"/>
        <w:jc w:val="both"/>
        <w:rPr>
          <w:rFonts w:ascii="Times New Roman" w:eastAsia="Arial" w:hAnsi="Times New Roman" w:cs="Times New Roman"/>
          <w:b/>
          <w:bCs/>
          <w:lang w:val="vi-VN"/>
        </w:rPr>
      </w:pPr>
      <w:r w:rsidRPr="00F00574">
        <w:rPr>
          <w:rFonts w:ascii="Times New Roman" w:eastAsia="Arial" w:hAnsi="Times New Roman" w:cs="Times New Roman"/>
          <w:b/>
          <w:bCs/>
          <w:lang w:val="vi-VN"/>
        </w:rPr>
        <w:t xml:space="preserve">Robustness regression </w:t>
      </w:r>
    </w:p>
    <w:p w14:paraId="65312E68" w14:textId="77777777" w:rsidR="00407865" w:rsidRPr="00624114" w:rsidRDefault="00407865" w:rsidP="00407865">
      <w:pPr>
        <w:spacing w:before="90" w:after="90"/>
        <w:jc w:val="both"/>
        <w:rPr>
          <w:rFonts w:ascii="Times New Roman" w:hAnsi="Times New Roman" w:cs="Times New Roman"/>
        </w:rPr>
      </w:pPr>
      <w:r w:rsidRPr="00624114">
        <w:rPr>
          <w:rFonts w:ascii="Times New Roman" w:eastAsia="Arial" w:hAnsi="Times New Roman" w:cs="Times New Roman"/>
        </w:rPr>
        <w:t>Lagged GDP growth Dy(t−1) is added to check whether β still differs from zero once growth momentum is controlled for:</w:t>
      </w:r>
    </w:p>
    <w:p w14:paraId="2ACE2EB0" w14:textId="77777777" w:rsidR="00407865" w:rsidRDefault="00407865" w:rsidP="00407865">
      <w:pPr>
        <w:spacing w:before="60" w:after="60"/>
        <w:jc w:val="center"/>
        <w:rPr>
          <w:rFonts w:ascii="Times New Roman" w:eastAsia="Arial" w:hAnsi="Times New Roman" w:cs="Times New Roman"/>
          <w:b/>
          <w:bCs/>
          <w:lang w:val="vi-VN"/>
        </w:rPr>
      </w:pPr>
      <w:r w:rsidRPr="00624114">
        <w:rPr>
          <w:rFonts w:ascii="Times New Roman" w:eastAsia="Arial" w:hAnsi="Times New Roman" w:cs="Times New Roman"/>
          <w:b/>
          <w:bCs/>
        </w:rPr>
        <w:t>Dy(t)  =  α  +  β</w:t>
      </w:r>
      <w:r>
        <w:rPr>
          <w:rFonts w:ascii="Times New Roman" w:eastAsia="Arial" w:hAnsi="Times New Roman" w:cs="Times New Roman"/>
          <w:b/>
          <w:bCs/>
          <w:lang w:val="vi-VN"/>
        </w:rPr>
        <w:t xml:space="preserve"> .</w:t>
      </w:r>
      <w:r w:rsidRPr="00624114">
        <w:rPr>
          <w:rFonts w:ascii="Times New Roman" w:eastAsia="Arial" w:hAnsi="Times New Roman" w:cs="Times New Roman"/>
          <w:b/>
          <w:bCs/>
        </w:rPr>
        <w:t xml:space="preserve"> r(t−1)  +  γ</w:t>
      </w:r>
      <w:r>
        <w:rPr>
          <w:rFonts w:ascii="Times New Roman" w:eastAsia="Arial" w:hAnsi="Times New Roman" w:cs="Times New Roman"/>
          <w:b/>
          <w:bCs/>
          <w:lang w:val="vi-VN"/>
        </w:rPr>
        <w:t xml:space="preserve"> .</w:t>
      </w:r>
      <w:r w:rsidRPr="00624114">
        <w:rPr>
          <w:rFonts w:ascii="Times New Roman" w:eastAsia="Arial" w:hAnsi="Times New Roman" w:cs="Times New Roman"/>
          <w:b/>
          <w:bCs/>
        </w:rPr>
        <w:t xml:space="preserve"> Dy(t−1)  +  ε(t)</w:t>
      </w:r>
    </w:p>
    <w:p w14:paraId="42E1E6C9" w14:textId="77777777" w:rsidR="00407865" w:rsidRDefault="00407865" w:rsidP="00407865">
      <w:pPr>
        <w:spacing w:before="90" w:after="90"/>
        <w:jc w:val="center"/>
        <w:rPr>
          <w:rFonts w:ascii="Times New Roman" w:eastAsia="Arial" w:hAnsi="Times New Roman" w:cs="Times New Roman"/>
          <w:lang w:val="vi-VN"/>
        </w:rPr>
      </w:pPr>
      <w:r w:rsidRPr="00E84C7D">
        <w:rPr>
          <w:rFonts w:ascii="Times New Roman" w:eastAsia="Arial" w:hAnsi="Times New Roman" w:cs="Times New Roman"/>
          <w:lang w:val="vi-VN"/>
        </w:rPr>
        <w:drawing>
          <wp:inline distT="0" distB="0" distL="0" distR="0" wp14:anchorId="285FAE3B" wp14:editId="79ABDAD5">
            <wp:extent cx="4579643" cy="1620000"/>
            <wp:effectExtent l="0" t="0" r="5080" b="5715"/>
            <wp:docPr id="1472217170" name="Picture 1" descr="A table with numbers and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17170" name="Picture 1" descr="A table with numbers and a blue and white background&#10;&#10;AI-generated content may be incorrect."/>
                    <pic:cNvPicPr/>
                  </pic:nvPicPr>
                  <pic:blipFill>
                    <a:blip r:embed="rId18"/>
                    <a:stretch>
                      <a:fillRect/>
                    </a:stretch>
                  </pic:blipFill>
                  <pic:spPr>
                    <a:xfrm>
                      <a:off x="0" y="0"/>
                      <a:ext cx="4579643" cy="1620000"/>
                    </a:xfrm>
                    <a:prstGeom prst="rect">
                      <a:avLst/>
                    </a:prstGeom>
                  </pic:spPr>
                </pic:pic>
              </a:graphicData>
            </a:graphic>
          </wp:inline>
        </w:drawing>
      </w:r>
    </w:p>
    <w:p w14:paraId="6F5F867B" w14:textId="77777777" w:rsidR="00407865" w:rsidRPr="00624114" w:rsidRDefault="00407865" w:rsidP="00407865">
      <w:pPr>
        <w:spacing w:before="90" w:after="90"/>
        <w:jc w:val="both"/>
        <w:rPr>
          <w:rFonts w:ascii="Times New Roman" w:eastAsia="Arial" w:hAnsi="Times New Roman" w:cs="Times New Roman"/>
          <w:lang w:val="vi-VN"/>
        </w:rPr>
      </w:pPr>
      <w:r w:rsidRPr="00B635F9">
        <w:rPr>
          <w:rFonts w:ascii="Times New Roman" w:eastAsia="Arial" w:hAnsi="Times New Roman" w:cs="Times New Roman"/>
        </w:rPr>
        <w:t xml:space="preserve">For the </w:t>
      </w:r>
      <w:r w:rsidRPr="00624114">
        <w:rPr>
          <w:rFonts w:ascii="Times New Roman" w:eastAsia="Arial" w:hAnsi="Times New Roman" w:cs="Times New Roman"/>
        </w:rPr>
        <w:t>USA</w:t>
      </w:r>
      <w:r w:rsidRPr="00B635F9">
        <w:rPr>
          <w:rFonts w:ascii="Times New Roman" w:eastAsia="Arial" w:hAnsi="Times New Roman" w:cs="Times New Roman"/>
        </w:rPr>
        <w:t>, β remains 0.058 (t = 4.54, p &lt; 0.001)</w:t>
      </w:r>
      <w:r>
        <w:rPr>
          <w:rFonts w:ascii="Times New Roman" w:eastAsia="Arial" w:hAnsi="Times New Roman" w:cs="Times New Roman"/>
          <w:lang w:val="vi-VN"/>
        </w:rPr>
        <w:t>,</w:t>
      </w:r>
      <w:r w:rsidRPr="00B635F9">
        <w:rPr>
          <w:rFonts w:ascii="Times New Roman" w:eastAsia="Arial" w:hAnsi="Times New Roman" w:cs="Times New Roman"/>
        </w:rPr>
        <w:t xml:space="preserve"> virtually unchanged. Lagged GDP growth is insignificant (p = 0.181). R² rises marginally to 0.277. The coefficient on lagged returns is clearly </w:t>
      </w:r>
      <w:r w:rsidRPr="00B635F9">
        <w:rPr>
          <w:rFonts w:ascii="Times New Roman" w:eastAsia="Arial" w:hAnsi="Times New Roman" w:cs="Times New Roman"/>
        </w:rPr>
        <w:lastRenderedPageBreak/>
        <w:t>different from zero even after controlling for momentum, and still explains meaningful variation in GDP growth.</w:t>
      </w:r>
    </w:p>
    <w:p w14:paraId="3EB7183E" w14:textId="77777777" w:rsidR="00407865" w:rsidRDefault="00407865" w:rsidP="00407865">
      <w:pPr>
        <w:spacing w:before="90" w:after="90"/>
        <w:jc w:val="both"/>
        <w:rPr>
          <w:rFonts w:ascii="Times New Roman" w:eastAsia="Arial" w:hAnsi="Times New Roman" w:cs="Times New Roman"/>
          <w:lang w:val="vi-VN"/>
        </w:rPr>
      </w:pPr>
      <w:r w:rsidRPr="00B635F9">
        <w:rPr>
          <w:rFonts w:ascii="Times New Roman" w:eastAsia="Arial" w:hAnsi="Times New Roman" w:cs="Times New Roman"/>
        </w:rPr>
        <w:t xml:space="preserve">For </w:t>
      </w:r>
      <w:r w:rsidRPr="00624114">
        <w:rPr>
          <w:rFonts w:ascii="Times New Roman" w:eastAsia="Arial" w:hAnsi="Times New Roman" w:cs="Times New Roman"/>
        </w:rPr>
        <w:t>India</w:t>
      </w:r>
      <w:r w:rsidRPr="00B635F9">
        <w:rPr>
          <w:rFonts w:ascii="Times New Roman" w:eastAsia="Arial" w:hAnsi="Times New Roman" w:cs="Times New Roman"/>
        </w:rPr>
        <w:t xml:space="preserve">, both β̂ = −0.008 (p = 0.681) and γ̂ = 0.063 (p = 0.722) are insignificant; R² = 0.008. Neither coefficient differs from zero. </w:t>
      </w:r>
      <w:r w:rsidRPr="00624114">
        <w:rPr>
          <w:rFonts w:ascii="Times New Roman" w:eastAsia="Arial" w:hAnsi="Times New Roman" w:cs="Times New Roman"/>
        </w:rPr>
        <w:t>The null result for India is fully robust.</w:t>
      </w:r>
    </w:p>
    <w:p w14:paraId="1129CA3C" w14:textId="77777777" w:rsidR="00407865" w:rsidRDefault="00407865" w:rsidP="00407865">
      <w:pPr>
        <w:pStyle w:val="ListParagraph"/>
        <w:numPr>
          <w:ilvl w:val="0"/>
          <w:numId w:val="1"/>
        </w:numPr>
        <w:spacing w:before="90" w:after="90"/>
        <w:jc w:val="both"/>
        <w:rPr>
          <w:rFonts w:ascii="Times New Roman" w:eastAsia="Arial" w:hAnsi="Times New Roman" w:cs="Times New Roman"/>
          <w:b/>
          <w:bCs/>
          <w:lang w:val="vi-VN"/>
        </w:rPr>
      </w:pPr>
      <w:r w:rsidRPr="00624114">
        <w:rPr>
          <w:rFonts w:ascii="Times New Roman" w:eastAsia="Arial" w:hAnsi="Times New Roman" w:cs="Times New Roman"/>
          <w:b/>
          <w:bCs/>
          <w:lang w:val="vi-VN"/>
        </w:rPr>
        <w:t>Conclusion, limits, improvements</w:t>
      </w:r>
    </w:p>
    <w:p w14:paraId="0B400CC2" w14:textId="77777777" w:rsidR="00407865" w:rsidRPr="00B420D7" w:rsidRDefault="00407865" w:rsidP="00407865">
      <w:pPr>
        <w:spacing w:before="90" w:after="90"/>
        <w:jc w:val="both"/>
        <w:rPr>
          <w:rFonts w:ascii="Times New Roman" w:hAnsi="Times New Roman" w:cs="Times New Roman"/>
          <w:b/>
          <w:bCs/>
          <w:lang w:val="vi-VN"/>
        </w:rPr>
      </w:pPr>
      <w:r w:rsidRPr="00B420D7">
        <w:rPr>
          <w:rFonts w:ascii="Times New Roman" w:hAnsi="Times New Roman" w:cs="Times New Roman"/>
          <w:b/>
          <w:bCs/>
          <w:lang w:val="vi-VN"/>
        </w:rPr>
        <w:t>Summary of findings</w:t>
      </w:r>
    </w:p>
    <w:p w14:paraId="3336215B" w14:textId="77777777" w:rsidR="00407865" w:rsidRPr="00B420D7" w:rsidRDefault="00407865" w:rsidP="00407865">
      <w:pPr>
        <w:spacing w:before="90" w:after="90"/>
        <w:jc w:val="both"/>
        <w:rPr>
          <w:rFonts w:ascii="Times New Roman" w:hAnsi="Times New Roman" w:cs="Times New Roman"/>
          <w:lang w:val="vi-VN"/>
        </w:rPr>
      </w:pPr>
      <w:r w:rsidRPr="00B420D7">
        <w:rPr>
          <w:rFonts w:ascii="Times New Roman" w:hAnsi="Times New Roman" w:cs="Times New Roman"/>
          <w:lang w:val="vi-VN"/>
        </w:rPr>
        <w:t>Lagged S&amp;P 500 returns predict US GDP growth with a 0.059 beta, 4.57 t-statistic, and 0.255 R-squared. Adding lagged GDP yields a robust 0.058 beta, 4.54 t-statistic, and 0.277 R-squared. Nifty 50 returns lack Indian predictive power given a negative 0.006 beta, negative 0.36 t-statistic, and 0.004 R-squared. Replicating Mauro (2003), divergence reflects market depth. Mauro (2003) cites capitalisation to GDP as the main predictor. India recorded 25% in 1998 versus 158% for the USA (Mauro, 2003), indicating unrepresentative markets. The US relationship is predictive, not causal.</w:t>
      </w:r>
    </w:p>
    <w:p w14:paraId="3EAA6059" w14:textId="77777777" w:rsidR="00407865" w:rsidRPr="00B420D7" w:rsidRDefault="00407865" w:rsidP="00407865">
      <w:pPr>
        <w:spacing w:before="90" w:after="90"/>
        <w:jc w:val="both"/>
        <w:rPr>
          <w:rFonts w:ascii="Times New Roman" w:hAnsi="Times New Roman" w:cs="Times New Roman"/>
          <w:b/>
          <w:bCs/>
          <w:lang w:val="vi-VN"/>
        </w:rPr>
      </w:pPr>
      <w:r w:rsidRPr="00B420D7">
        <w:rPr>
          <w:rFonts w:ascii="Times New Roman" w:hAnsi="Times New Roman" w:cs="Times New Roman"/>
          <w:b/>
          <w:bCs/>
          <w:lang w:val="vi-VN"/>
        </w:rPr>
        <w:t>Limitations</w:t>
      </w:r>
    </w:p>
    <w:p w14:paraId="293F0A54" w14:textId="77777777" w:rsidR="00407865" w:rsidRPr="00B420D7" w:rsidRDefault="00407865" w:rsidP="00407865">
      <w:pPr>
        <w:spacing w:before="90" w:after="90"/>
        <w:jc w:val="both"/>
        <w:rPr>
          <w:rFonts w:ascii="Times New Roman" w:hAnsi="Times New Roman" w:cs="Times New Roman"/>
          <w:lang w:val="vi-VN"/>
        </w:rPr>
      </w:pPr>
      <w:r w:rsidRPr="00B420D7">
        <w:rPr>
          <w:rFonts w:ascii="Times New Roman" w:hAnsi="Times New Roman" w:cs="Times New Roman"/>
          <w:lang w:val="vi-VN"/>
        </w:rPr>
        <w:t>First, India's short sample limits power. Second, omitting interest spreads, credit, and money supply weakens models, which Mauro (2003) proved valuable. Third, 2008 and 2020 shocks distort OLS estimates. Fourth, Stock and Watson (1998) showed fluctuating US predictive power, making the 1961–2024 estimate an average of sub-periods.</w:t>
      </w:r>
    </w:p>
    <w:p w14:paraId="727C03BE" w14:textId="77777777" w:rsidR="00407865" w:rsidRPr="00B420D7" w:rsidRDefault="00407865" w:rsidP="00407865">
      <w:pPr>
        <w:spacing w:before="90" w:after="90"/>
        <w:jc w:val="both"/>
        <w:rPr>
          <w:rFonts w:ascii="Times New Roman" w:hAnsi="Times New Roman" w:cs="Times New Roman"/>
          <w:b/>
          <w:bCs/>
          <w:lang w:val="vi-VN"/>
        </w:rPr>
      </w:pPr>
      <w:r w:rsidRPr="00B420D7">
        <w:rPr>
          <w:rFonts w:ascii="Times New Roman" w:hAnsi="Times New Roman" w:cs="Times New Roman"/>
          <w:b/>
          <w:bCs/>
          <w:lang w:val="vi-VN"/>
        </w:rPr>
        <w:t>Improvements</w:t>
      </w:r>
    </w:p>
    <w:p w14:paraId="1AA877F4" w14:textId="77777777" w:rsidR="00407865" w:rsidRPr="00F90D9F" w:rsidRDefault="00407865" w:rsidP="00407865">
      <w:pPr>
        <w:spacing w:before="90" w:after="90"/>
        <w:jc w:val="both"/>
        <w:rPr>
          <w:rFonts w:ascii="Times New Roman" w:hAnsi="Times New Roman" w:cs="Times New Roman"/>
          <w:lang w:val="vi-VN"/>
        </w:rPr>
      </w:pPr>
      <w:r w:rsidRPr="00B420D7">
        <w:rPr>
          <w:rFonts w:ascii="Times New Roman" w:hAnsi="Times New Roman" w:cs="Times New Roman"/>
          <w:lang w:val="vi-VN"/>
        </w:rPr>
        <w:t>Research should split sub-periods testing stability and add monetary controls following Mauro (2003). Outlier-robust regression mitigates 2008 and 2020 extremes. Quarterly data increases Indian statistical power. Re-running analysis with post-2010 data, when capitalisation exceeded 50% of GDP, tests if this link strengthened as markets deepened.</w:t>
      </w:r>
    </w:p>
    <w:bookmarkEnd w:id="0"/>
    <w:p w14:paraId="6A7CC8A3" w14:textId="77777777" w:rsidR="00407865" w:rsidRPr="00407865" w:rsidRDefault="00407865">
      <w:pPr>
        <w:rPr>
          <w:lang w:val="vi-VN"/>
        </w:rPr>
      </w:pPr>
    </w:p>
    <w:sectPr w:rsidR="00407865" w:rsidRPr="004078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3644B"/>
    <w:multiLevelType w:val="hybridMultilevel"/>
    <w:tmpl w:val="0A942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99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65"/>
    <w:rsid w:val="00407865"/>
    <w:rsid w:val="006C0FA0"/>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FF2192"/>
  <w15:chartTrackingRefBased/>
  <w15:docId w15:val="{8257F23B-6979-1A41-92AE-1A8A13E7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865"/>
  </w:style>
  <w:style w:type="paragraph" w:styleId="Heading1">
    <w:name w:val="heading 1"/>
    <w:basedOn w:val="Normal"/>
    <w:next w:val="Normal"/>
    <w:link w:val="Heading1Char"/>
    <w:uiPriority w:val="9"/>
    <w:qFormat/>
    <w:rsid w:val="00407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865"/>
    <w:rPr>
      <w:rFonts w:eastAsiaTheme="majorEastAsia" w:cstheme="majorBidi"/>
      <w:color w:val="272727" w:themeColor="text1" w:themeTint="D8"/>
    </w:rPr>
  </w:style>
  <w:style w:type="paragraph" w:styleId="Title">
    <w:name w:val="Title"/>
    <w:basedOn w:val="Normal"/>
    <w:next w:val="Normal"/>
    <w:link w:val="TitleChar"/>
    <w:uiPriority w:val="10"/>
    <w:qFormat/>
    <w:rsid w:val="00407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865"/>
    <w:pPr>
      <w:spacing w:before="160"/>
      <w:jc w:val="center"/>
    </w:pPr>
    <w:rPr>
      <w:i/>
      <w:iCs/>
      <w:color w:val="404040" w:themeColor="text1" w:themeTint="BF"/>
    </w:rPr>
  </w:style>
  <w:style w:type="character" w:customStyle="1" w:styleId="QuoteChar">
    <w:name w:val="Quote Char"/>
    <w:basedOn w:val="DefaultParagraphFont"/>
    <w:link w:val="Quote"/>
    <w:uiPriority w:val="29"/>
    <w:rsid w:val="00407865"/>
    <w:rPr>
      <w:i/>
      <w:iCs/>
      <w:color w:val="404040" w:themeColor="text1" w:themeTint="BF"/>
    </w:rPr>
  </w:style>
  <w:style w:type="paragraph" w:styleId="ListParagraph">
    <w:name w:val="List Paragraph"/>
    <w:basedOn w:val="Normal"/>
    <w:uiPriority w:val="34"/>
    <w:qFormat/>
    <w:rsid w:val="00407865"/>
    <w:pPr>
      <w:ind w:left="720"/>
      <w:contextualSpacing/>
    </w:pPr>
  </w:style>
  <w:style w:type="character" w:styleId="IntenseEmphasis">
    <w:name w:val="Intense Emphasis"/>
    <w:basedOn w:val="DefaultParagraphFont"/>
    <w:uiPriority w:val="21"/>
    <w:qFormat/>
    <w:rsid w:val="00407865"/>
    <w:rPr>
      <w:i/>
      <w:iCs/>
      <w:color w:val="0F4761" w:themeColor="accent1" w:themeShade="BF"/>
    </w:rPr>
  </w:style>
  <w:style w:type="paragraph" w:styleId="IntenseQuote">
    <w:name w:val="Intense Quote"/>
    <w:basedOn w:val="Normal"/>
    <w:next w:val="Normal"/>
    <w:link w:val="IntenseQuoteChar"/>
    <w:uiPriority w:val="30"/>
    <w:qFormat/>
    <w:rsid w:val="00407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865"/>
    <w:rPr>
      <w:i/>
      <w:iCs/>
      <w:color w:val="0F4761" w:themeColor="accent1" w:themeShade="BF"/>
    </w:rPr>
  </w:style>
  <w:style w:type="character" w:styleId="IntenseReference">
    <w:name w:val="Intense Reference"/>
    <w:basedOn w:val="DefaultParagraphFont"/>
    <w:uiPriority w:val="32"/>
    <w:qFormat/>
    <w:rsid w:val="004078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chart" Target="charts/chart2.xml"/><Relationship Id="rId12" Type="http://schemas.microsoft.com/office/2014/relationships/chartEx" Target="charts/chartEx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hart" Target="charts/chart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chart" Target="charts/chart5.xml"/><Relationship Id="rId10" Type="http://schemas.microsoft.com/office/2014/relationships/chartEx" Target="charts/chartEx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Users/dudinhphuc/Downloads/PSBF_Stat%20-%20Du%20Dinh%20Phuc%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dudinhphuc/Downloads/PSBF_Stat%20-%20Du%20Dinh%20Phuc%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dudinhphuc/Downloads/PSBF_Stat%20-%20Du%20Dinh%20Phuc%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dudinhphuc/Downloads/PSBF_Stat%20-%20Du%20Dinh%20Phuc%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dudinhphuc/Downloads/PSBF_Stat%20-%20Du%20Dinh%20Phuc%20.xlsx" TargetMode="External"/><Relationship Id="rId2" Type="http://schemas.microsoft.com/office/2011/relationships/chartColorStyle" Target="colors7.xml"/><Relationship Id="rId1" Type="http://schemas.microsoft.com/office/2011/relationships/chartStyle" Target="style7.xml"/></Relationships>
</file>

<file path=word/charts/_rels/chart6.xml.rels><?xml version="1.0" encoding="UTF-8" standalone="yes"?>
<Relationships xmlns="http://schemas.openxmlformats.org/package/2006/relationships"><Relationship Id="rId3" Type="http://schemas.openxmlformats.org/officeDocument/2006/relationships/oleObject" Target="file:////Users/dudinhphuc/Downloads/PSBF_Stat%20-%20Du%20Dinh%20Phuc%20.xlsx" TargetMode="External"/><Relationship Id="rId2" Type="http://schemas.microsoft.com/office/2011/relationships/chartColorStyle" Target="colors8.xml"/><Relationship Id="rId1" Type="http://schemas.microsoft.com/office/2011/relationships/chartStyle" Target="style8.xml"/></Relationships>
</file>

<file path=word/charts/_rels/chartEx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Users/dudinhphuc/Downloads/PSBF_Stat%20-%20Du%20Dinh%20Phuc%20.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Users/dudinhphuc/Downloads/PSBF_Stat%20-%20Du%20Dinh%20Phuc%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USA - Real Stock Returns (r)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tx>
            <c:strRef>
              <c:f>USA!$M$2</c:f>
              <c:strCache>
                <c:ptCount val="1"/>
                <c:pt idx="0">
                  <c:v>Frequency </c:v>
                </c:pt>
              </c:strCache>
            </c:strRef>
          </c:tx>
          <c:spPr>
            <a:solidFill>
              <a:schemeClr val="accent1"/>
            </a:solidFill>
            <a:ln>
              <a:noFill/>
            </a:ln>
            <a:effectLst/>
          </c:spPr>
          <c:invertIfNegative val="0"/>
          <c:cat>
            <c:numRef>
              <c:f>USA!$L$3:$L$13</c:f>
              <c:numCache>
                <c:formatCode>General</c:formatCode>
                <c:ptCount val="11"/>
                <c:pt idx="0">
                  <c:v>-55</c:v>
                </c:pt>
                <c:pt idx="1">
                  <c:v>-45</c:v>
                </c:pt>
                <c:pt idx="2">
                  <c:v>-35</c:v>
                </c:pt>
                <c:pt idx="3">
                  <c:v>-25</c:v>
                </c:pt>
                <c:pt idx="4">
                  <c:v>-15</c:v>
                </c:pt>
                <c:pt idx="5">
                  <c:v>-5</c:v>
                </c:pt>
                <c:pt idx="6">
                  <c:v>5</c:v>
                </c:pt>
                <c:pt idx="7">
                  <c:v>15</c:v>
                </c:pt>
                <c:pt idx="8">
                  <c:v>25</c:v>
                </c:pt>
                <c:pt idx="9">
                  <c:v>35</c:v>
                </c:pt>
              </c:numCache>
            </c:numRef>
          </c:cat>
          <c:val>
            <c:numRef>
              <c:f>USA!$M$3:$M$13</c:f>
              <c:numCache>
                <c:formatCode>General</c:formatCode>
                <c:ptCount val="11"/>
                <c:pt idx="0">
                  <c:v>0</c:v>
                </c:pt>
                <c:pt idx="1">
                  <c:v>2</c:v>
                </c:pt>
                <c:pt idx="2">
                  <c:v>0</c:v>
                </c:pt>
                <c:pt idx="3">
                  <c:v>3</c:v>
                </c:pt>
                <c:pt idx="4">
                  <c:v>5</c:v>
                </c:pt>
                <c:pt idx="5">
                  <c:v>6</c:v>
                </c:pt>
                <c:pt idx="6">
                  <c:v>11</c:v>
                </c:pt>
                <c:pt idx="7">
                  <c:v>17</c:v>
                </c:pt>
                <c:pt idx="8">
                  <c:v>19</c:v>
                </c:pt>
                <c:pt idx="9">
                  <c:v>1</c:v>
                </c:pt>
                <c:pt idx="10">
                  <c:v>0</c:v>
                </c:pt>
              </c:numCache>
            </c:numRef>
          </c:val>
          <c:extLst>
            <c:ext xmlns:c16="http://schemas.microsoft.com/office/drawing/2014/chart" uri="{C3380CC4-5D6E-409C-BE32-E72D297353CC}">
              <c16:uniqueId val="{00000000-FFEE-8943-8532-CBB472F3FA50}"/>
            </c:ext>
          </c:extLst>
        </c:ser>
        <c:dLbls>
          <c:showLegendKey val="0"/>
          <c:showVal val="0"/>
          <c:showCatName val="0"/>
          <c:showSerName val="0"/>
          <c:showPercent val="0"/>
          <c:showBubbleSize val="0"/>
        </c:dLbls>
        <c:gapWidth val="0"/>
        <c:overlap val="-27"/>
        <c:axId val="331062271"/>
        <c:axId val="331062719"/>
      </c:barChart>
      <c:catAx>
        <c:axId val="331062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331062719"/>
        <c:crosses val="autoZero"/>
        <c:auto val="1"/>
        <c:lblAlgn val="ctr"/>
        <c:lblOffset val="100"/>
        <c:noMultiLvlLbl val="0"/>
      </c:catAx>
      <c:valAx>
        <c:axId val="3310627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3310622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USA - GDP Growth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tx>
            <c:strRef>
              <c:f>USA!$M$17</c:f>
              <c:strCache>
                <c:ptCount val="1"/>
                <c:pt idx="0">
                  <c:v>Frequency</c:v>
                </c:pt>
              </c:strCache>
            </c:strRef>
          </c:tx>
          <c:spPr>
            <a:solidFill>
              <a:schemeClr val="accent1"/>
            </a:solidFill>
            <a:ln>
              <a:noFill/>
            </a:ln>
            <a:effectLst/>
          </c:spPr>
          <c:invertIfNegative val="0"/>
          <c:cat>
            <c:numRef>
              <c:f>USA!$L$18:$L$25</c:f>
              <c:numCache>
                <c:formatCode>General</c:formatCode>
                <c:ptCount val="8"/>
                <c:pt idx="0">
                  <c:v>-4</c:v>
                </c:pt>
                <c:pt idx="1">
                  <c:v>-2</c:v>
                </c:pt>
                <c:pt idx="2">
                  <c:v>0</c:v>
                </c:pt>
                <c:pt idx="3">
                  <c:v>2</c:v>
                </c:pt>
                <c:pt idx="4">
                  <c:v>4</c:v>
                </c:pt>
                <c:pt idx="5">
                  <c:v>6</c:v>
                </c:pt>
                <c:pt idx="6">
                  <c:v>8</c:v>
                </c:pt>
              </c:numCache>
            </c:numRef>
          </c:cat>
          <c:val>
            <c:numRef>
              <c:f>USA!$M$18:$M$25</c:f>
              <c:numCache>
                <c:formatCode>General</c:formatCode>
                <c:ptCount val="8"/>
                <c:pt idx="0">
                  <c:v>0</c:v>
                </c:pt>
                <c:pt idx="1">
                  <c:v>3</c:v>
                </c:pt>
                <c:pt idx="2">
                  <c:v>7</c:v>
                </c:pt>
                <c:pt idx="3">
                  <c:v>20</c:v>
                </c:pt>
                <c:pt idx="4">
                  <c:v>24</c:v>
                </c:pt>
                <c:pt idx="5">
                  <c:v>9</c:v>
                </c:pt>
                <c:pt idx="6">
                  <c:v>1</c:v>
                </c:pt>
                <c:pt idx="7">
                  <c:v>0</c:v>
                </c:pt>
              </c:numCache>
            </c:numRef>
          </c:val>
          <c:extLst>
            <c:ext xmlns:c16="http://schemas.microsoft.com/office/drawing/2014/chart" uri="{C3380CC4-5D6E-409C-BE32-E72D297353CC}">
              <c16:uniqueId val="{00000000-04E3-E745-AF31-9915D5D365D1}"/>
            </c:ext>
          </c:extLst>
        </c:ser>
        <c:dLbls>
          <c:showLegendKey val="0"/>
          <c:showVal val="0"/>
          <c:showCatName val="0"/>
          <c:showSerName val="0"/>
          <c:showPercent val="0"/>
          <c:showBubbleSize val="0"/>
        </c:dLbls>
        <c:gapWidth val="0"/>
        <c:overlap val="-27"/>
        <c:axId val="364357247"/>
        <c:axId val="331063615"/>
      </c:barChart>
      <c:catAx>
        <c:axId val="3643572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331063615"/>
        <c:crosses val="autoZero"/>
        <c:auto val="1"/>
        <c:lblAlgn val="ctr"/>
        <c:lblOffset val="100"/>
        <c:noMultiLvlLbl val="0"/>
      </c:catAx>
      <c:valAx>
        <c:axId val="3310636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36435724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India - Real Stock Returns (r)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tx>
            <c:strRef>
              <c:f>India!$M$2</c:f>
              <c:strCache>
                <c:ptCount val="1"/>
                <c:pt idx="0">
                  <c:v>Frequency</c:v>
                </c:pt>
              </c:strCache>
            </c:strRef>
          </c:tx>
          <c:spPr>
            <a:solidFill>
              <a:schemeClr val="accent1"/>
            </a:solidFill>
            <a:ln>
              <a:noFill/>
            </a:ln>
            <a:effectLst/>
          </c:spPr>
          <c:invertIfNegative val="0"/>
          <c:cat>
            <c:numRef>
              <c:f>India!$L$3:$L$19</c:f>
              <c:numCache>
                <c:formatCode>General</c:formatCode>
                <c:ptCount val="17"/>
                <c:pt idx="0">
                  <c:v>-90</c:v>
                </c:pt>
                <c:pt idx="1">
                  <c:v>-80</c:v>
                </c:pt>
                <c:pt idx="2">
                  <c:v>-70</c:v>
                </c:pt>
                <c:pt idx="3">
                  <c:v>-60</c:v>
                </c:pt>
                <c:pt idx="4">
                  <c:v>-50</c:v>
                </c:pt>
                <c:pt idx="5">
                  <c:v>-40</c:v>
                </c:pt>
                <c:pt idx="6">
                  <c:v>-30</c:v>
                </c:pt>
                <c:pt idx="7">
                  <c:v>-20</c:v>
                </c:pt>
                <c:pt idx="8">
                  <c:v>-10</c:v>
                </c:pt>
                <c:pt idx="9">
                  <c:v>0</c:v>
                </c:pt>
                <c:pt idx="10">
                  <c:v>10</c:v>
                </c:pt>
                <c:pt idx="11">
                  <c:v>20</c:v>
                </c:pt>
                <c:pt idx="12">
                  <c:v>30</c:v>
                </c:pt>
                <c:pt idx="13">
                  <c:v>40</c:v>
                </c:pt>
                <c:pt idx="14">
                  <c:v>50</c:v>
                </c:pt>
                <c:pt idx="15">
                  <c:v>60</c:v>
                </c:pt>
              </c:numCache>
            </c:numRef>
          </c:cat>
          <c:val>
            <c:numRef>
              <c:f>India!$M$3:$M$19</c:f>
              <c:numCache>
                <c:formatCode>General</c:formatCode>
                <c:ptCount val="17"/>
                <c:pt idx="0">
                  <c:v>0</c:v>
                </c:pt>
                <c:pt idx="1">
                  <c:v>1</c:v>
                </c:pt>
                <c:pt idx="2">
                  <c:v>0</c:v>
                </c:pt>
                <c:pt idx="3">
                  <c:v>0</c:v>
                </c:pt>
                <c:pt idx="4">
                  <c:v>0</c:v>
                </c:pt>
                <c:pt idx="5">
                  <c:v>0</c:v>
                </c:pt>
                <c:pt idx="6">
                  <c:v>3</c:v>
                </c:pt>
                <c:pt idx="7">
                  <c:v>1</c:v>
                </c:pt>
                <c:pt idx="8">
                  <c:v>2</c:v>
                </c:pt>
                <c:pt idx="9">
                  <c:v>6</c:v>
                </c:pt>
                <c:pt idx="10">
                  <c:v>6</c:v>
                </c:pt>
                <c:pt idx="11">
                  <c:v>5</c:v>
                </c:pt>
                <c:pt idx="12">
                  <c:v>5</c:v>
                </c:pt>
                <c:pt idx="13">
                  <c:v>2</c:v>
                </c:pt>
                <c:pt idx="14">
                  <c:v>2</c:v>
                </c:pt>
                <c:pt idx="15">
                  <c:v>1</c:v>
                </c:pt>
                <c:pt idx="16">
                  <c:v>0</c:v>
                </c:pt>
              </c:numCache>
            </c:numRef>
          </c:val>
          <c:extLst>
            <c:ext xmlns:c16="http://schemas.microsoft.com/office/drawing/2014/chart" uri="{C3380CC4-5D6E-409C-BE32-E72D297353CC}">
              <c16:uniqueId val="{00000000-F9D2-CB40-B218-226AEC053D8B}"/>
            </c:ext>
          </c:extLst>
        </c:ser>
        <c:dLbls>
          <c:showLegendKey val="0"/>
          <c:showVal val="0"/>
          <c:showCatName val="0"/>
          <c:showSerName val="0"/>
          <c:showPercent val="0"/>
          <c:showBubbleSize val="0"/>
        </c:dLbls>
        <c:gapWidth val="0"/>
        <c:overlap val="-27"/>
        <c:axId val="565516863"/>
        <c:axId val="565524031"/>
      </c:barChart>
      <c:catAx>
        <c:axId val="5655168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565524031"/>
        <c:crosses val="autoZero"/>
        <c:auto val="1"/>
        <c:lblAlgn val="ctr"/>
        <c:lblOffset val="100"/>
        <c:noMultiLvlLbl val="0"/>
      </c:catAx>
      <c:valAx>
        <c:axId val="5655240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56551686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India - GDP Growth (Dy)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barChart>
        <c:barDir val="col"/>
        <c:grouping val="clustered"/>
        <c:varyColors val="0"/>
        <c:ser>
          <c:idx val="0"/>
          <c:order val="0"/>
          <c:tx>
            <c:strRef>
              <c:f>India!$M$21</c:f>
              <c:strCache>
                <c:ptCount val="1"/>
                <c:pt idx="0">
                  <c:v>Frequency</c:v>
                </c:pt>
              </c:strCache>
            </c:strRef>
          </c:tx>
          <c:spPr>
            <a:solidFill>
              <a:schemeClr val="accent1"/>
            </a:solidFill>
            <a:ln>
              <a:noFill/>
            </a:ln>
            <a:effectLst/>
          </c:spPr>
          <c:invertIfNegative val="0"/>
          <c:cat>
            <c:numRef>
              <c:f>India!$L$22:$L$39</c:f>
              <c:numCache>
                <c:formatCode>General</c:formatCode>
                <c:ptCount val="18"/>
                <c:pt idx="0">
                  <c:v>-7</c:v>
                </c:pt>
                <c:pt idx="1">
                  <c:v>-6</c:v>
                </c:pt>
                <c:pt idx="2">
                  <c:v>-5</c:v>
                </c:pt>
                <c:pt idx="3">
                  <c:v>-4</c:v>
                </c:pt>
                <c:pt idx="4">
                  <c:v>-3</c:v>
                </c:pt>
                <c:pt idx="5">
                  <c:v>-2</c:v>
                </c:pt>
                <c:pt idx="6">
                  <c:v>-1</c:v>
                </c:pt>
                <c:pt idx="7">
                  <c:v>0</c:v>
                </c:pt>
                <c:pt idx="8">
                  <c:v>1</c:v>
                </c:pt>
                <c:pt idx="9">
                  <c:v>2</c:v>
                </c:pt>
                <c:pt idx="10">
                  <c:v>3</c:v>
                </c:pt>
                <c:pt idx="11">
                  <c:v>4</c:v>
                </c:pt>
                <c:pt idx="12">
                  <c:v>5</c:v>
                </c:pt>
                <c:pt idx="13">
                  <c:v>6</c:v>
                </c:pt>
                <c:pt idx="14">
                  <c:v>7</c:v>
                </c:pt>
                <c:pt idx="15">
                  <c:v>8</c:v>
                </c:pt>
                <c:pt idx="16">
                  <c:v>9</c:v>
                </c:pt>
              </c:numCache>
            </c:numRef>
          </c:cat>
          <c:val>
            <c:numRef>
              <c:f>India!$M$22:$M$39</c:f>
              <c:numCache>
                <c:formatCode>General</c:formatCode>
                <c:ptCount val="18"/>
                <c:pt idx="0">
                  <c:v>0</c:v>
                </c:pt>
                <c:pt idx="1">
                  <c:v>1</c:v>
                </c:pt>
                <c:pt idx="2">
                  <c:v>0</c:v>
                </c:pt>
                <c:pt idx="3">
                  <c:v>0</c:v>
                </c:pt>
                <c:pt idx="4">
                  <c:v>0</c:v>
                </c:pt>
                <c:pt idx="5">
                  <c:v>0</c:v>
                </c:pt>
                <c:pt idx="6">
                  <c:v>1</c:v>
                </c:pt>
                <c:pt idx="7">
                  <c:v>0</c:v>
                </c:pt>
                <c:pt idx="8">
                  <c:v>0</c:v>
                </c:pt>
                <c:pt idx="9">
                  <c:v>3</c:v>
                </c:pt>
                <c:pt idx="10">
                  <c:v>4</c:v>
                </c:pt>
                <c:pt idx="11">
                  <c:v>3</c:v>
                </c:pt>
                <c:pt idx="12">
                  <c:v>3</c:v>
                </c:pt>
                <c:pt idx="13">
                  <c:v>10</c:v>
                </c:pt>
                <c:pt idx="14">
                  <c:v>7</c:v>
                </c:pt>
                <c:pt idx="15">
                  <c:v>1</c:v>
                </c:pt>
                <c:pt idx="16">
                  <c:v>1</c:v>
                </c:pt>
                <c:pt idx="17">
                  <c:v>0</c:v>
                </c:pt>
              </c:numCache>
            </c:numRef>
          </c:val>
          <c:extLst>
            <c:ext xmlns:c16="http://schemas.microsoft.com/office/drawing/2014/chart" uri="{C3380CC4-5D6E-409C-BE32-E72D297353CC}">
              <c16:uniqueId val="{00000000-71E1-764B-8758-44EE0279769F}"/>
            </c:ext>
          </c:extLst>
        </c:ser>
        <c:dLbls>
          <c:showLegendKey val="0"/>
          <c:showVal val="0"/>
          <c:showCatName val="0"/>
          <c:showSerName val="0"/>
          <c:showPercent val="0"/>
          <c:showBubbleSize val="0"/>
        </c:dLbls>
        <c:gapWidth val="0"/>
        <c:overlap val="-27"/>
        <c:axId val="1215341311"/>
        <c:axId val="1215346239"/>
      </c:barChart>
      <c:catAx>
        <c:axId val="12153413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215346239"/>
        <c:crosses val="autoZero"/>
        <c:auto val="1"/>
        <c:lblAlgn val="ctr"/>
        <c:lblOffset val="100"/>
        <c:noMultiLvlLbl val="0"/>
      </c:catAx>
      <c:valAx>
        <c:axId val="1215346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2153413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Lagged stock return and GDP growth in USA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3985560574005496"/>
                  <c:y val="-0.1936420751051707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trendlineLbl>
          </c:trendline>
          <c:xVal>
            <c:numRef>
              <c:f>USA!$D$2:$D$65</c:f>
              <c:numCache>
                <c:formatCode>0.0000</c:formatCode>
                <c:ptCount val="64"/>
                <c:pt idx="1">
                  <c:v>19.735149843897325</c:v>
                </c:pt>
                <c:pt idx="2">
                  <c:v>-13.76634699373111</c:v>
                </c:pt>
                <c:pt idx="3">
                  <c:v>16.063728089169818</c:v>
                </c:pt>
                <c:pt idx="4">
                  <c:v>10.916188596055973</c:v>
                </c:pt>
                <c:pt idx="5">
                  <c:v>7.0894162377759775</c:v>
                </c:pt>
                <c:pt idx="6">
                  <c:v>-17.045920485980869</c:v>
                </c:pt>
                <c:pt idx="7">
                  <c:v>15.536107277080966</c:v>
                </c:pt>
                <c:pt idx="8">
                  <c:v>3.1093797704856936</c:v>
                </c:pt>
                <c:pt idx="9">
                  <c:v>-17.522716202995149</c:v>
                </c:pt>
                <c:pt idx="10">
                  <c:v>-5.740540765808797</c:v>
                </c:pt>
                <c:pt idx="11">
                  <c:v>5.9509426183786642</c:v>
                </c:pt>
                <c:pt idx="12">
                  <c:v>11.253070388506913</c:v>
                </c:pt>
                <c:pt idx="13">
                  <c:v>-25.252079710010513</c:v>
                </c:pt>
                <c:pt idx="14">
                  <c:v>-46.32038408276442</c:v>
                </c:pt>
                <c:pt idx="15">
                  <c:v>18.277781323843882</c:v>
                </c:pt>
                <c:pt idx="16">
                  <c:v>11.775200276814978</c:v>
                </c:pt>
                <c:pt idx="17">
                  <c:v>-18.720655569661456</c:v>
                </c:pt>
                <c:pt idx="18">
                  <c:v>-6.5745239104712372</c:v>
                </c:pt>
                <c:pt idx="19">
                  <c:v>0.35374370625095075</c:v>
                </c:pt>
                <c:pt idx="20">
                  <c:v>9.3821083985789873</c:v>
                </c:pt>
                <c:pt idx="21">
                  <c:v>-20.571666435462021</c:v>
                </c:pt>
                <c:pt idx="22">
                  <c:v>7.6370053959995472</c:v>
                </c:pt>
                <c:pt idx="23">
                  <c:v>12.71933551915879</c:v>
                </c:pt>
                <c:pt idx="24">
                  <c:v>-2.9096589724039275</c:v>
                </c:pt>
                <c:pt idx="25">
                  <c:v>19.829791997957592</c:v>
                </c:pt>
                <c:pt idx="26">
                  <c:v>11.747521366010567</c:v>
                </c:pt>
                <c:pt idx="27">
                  <c:v>-1.6573420219881143</c:v>
                </c:pt>
                <c:pt idx="28">
                  <c:v>7.6123829982933131</c:v>
                </c:pt>
                <c:pt idx="29">
                  <c:v>19.271711769962906</c:v>
                </c:pt>
                <c:pt idx="30">
                  <c:v>-12.182102528094163</c:v>
                </c:pt>
                <c:pt idx="31">
                  <c:v>19.119328720048973</c:v>
                </c:pt>
                <c:pt idx="32">
                  <c:v>1.3386661801137634</c:v>
                </c:pt>
                <c:pt idx="33">
                  <c:v>3.8657379310918234</c:v>
                </c:pt>
                <c:pt idx="34">
                  <c:v>-4.1586976916416489</c:v>
                </c:pt>
                <c:pt idx="35">
                  <c:v>26.544085141531731</c:v>
                </c:pt>
                <c:pt idx="36">
                  <c:v>15.520432381917217</c:v>
                </c:pt>
                <c:pt idx="37">
                  <c:v>24.671268633416879</c:v>
                </c:pt>
                <c:pt idx="38">
                  <c:v>22.088117285032801</c:v>
                </c:pt>
                <c:pt idx="39">
                  <c:v>15.648383744671895</c:v>
                </c:pt>
                <c:pt idx="40">
                  <c:v>-14.067680390973869</c:v>
                </c:pt>
                <c:pt idx="41">
                  <c:v>-16.801456462387875</c:v>
                </c:pt>
                <c:pt idx="42">
                  <c:v>-28.198923603230394</c:v>
                </c:pt>
                <c:pt idx="43">
                  <c:v>21.142523894745821</c:v>
                </c:pt>
                <c:pt idx="44">
                  <c:v>5.9345261142649068</c:v>
                </c:pt>
                <c:pt idx="45">
                  <c:v>-0.43587325749222749</c:v>
                </c:pt>
                <c:pt idx="46">
                  <c:v>9.5424915563420214</c:v>
                </c:pt>
                <c:pt idx="47">
                  <c:v>0.6160435602158989</c:v>
                </c:pt>
                <c:pt idx="48">
                  <c:v>-52.4293043656495</c:v>
                </c:pt>
                <c:pt idx="49">
                  <c:v>21.425545860656417</c:v>
                </c:pt>
                <c:pt idx="50">
                  <c:v>10.389242738968335</c:v>
                </c:pt>
                <c:pt idx="51">
                  <c:v>-3.1592270173846986</c:v>
                </c:pt>
                <c:pt idx="52">
                  <c:v>10.510008598042157</c:v>
                </c:pt>
                <c:pt idx="53">
                  <c:v>24.464387993779489</c:v>
                </c:pt>
                <c:pt idx="54">
                  <c:v>9.1650870384250265</c:v>
                </c:pt>
                <c:pt idx="55">
                  <c:v>-0.84788132529079963</c:v>
                </c:pt>
                <c:pt idx="56">
                  <c:v>7.8458258220789254</c:v>
                </c:pt>
                <c:pt idx="57">
                  <c:v>15.617511110966479</c:v>
                </c:pt>
                <c:pt idx="58">
                  <c:v>-8.8828467179527202</c:v>
                </c:pt>
                <c:pt idx="59">
                  <c:v>23.557450847997043</c:v>
                </c:pt>
                <c:pt idx="60">
                  <c:v>13.831375990739078</c:v>
                </c:pt>
                <c:pt idx="61">
                  <c:v>19.119335882687267</c:v>
                </c:pt>
                <c:pt idx="62">
                  <c:v>-29.623099390006047</c:v>
                </c:pt>
                <c:pt idx="63">
                  <c:v>17.580513122624382</c:v>
                </c:pt>
              </c:numCache>
            </c:numRef>
          </c:xVal>
          <c:yVal>
            <c:numRef>
              <c:f>USA!$C$2:$C$65</c:f>
              <c:numCache>
                <c:formatCode>0.0000</c:formatCode>
                <c:ptCount val="64"/>
                <c:pt idx="0">
                  <c:v>0.61621865955938659</c:v>
                </c:pt>
                <c:pt idx="1">
                  <c:v>4.3831886049307656</c:v>
                </c:pt>
                <c:pt idx="2">
                  <c:v>2.866784184337412</c:v>
                </c:pt>
                <c:pt idx="3">
                  <c:v>4.2489872884276636</c:v>
                </c:pt>
                <c:pt idx="4">
                  <c:v>4.9533674463168254</c:v>
                </c:pt>
                <c:pt idx="5">
                  <c:v>5.1425867253838575</c:v>
                </c:pt>
                <c:pt idx="6">
                  <c:v>1.3803800517491638</c:v>
                </c:pt>
                <c:pt idx="7">
                  <c:v>3.6898975462994699</c:v>
                </c:pt>
                <c:pt idx="8">
                  <c:v>2.0756776916099895</c:v>
                </c:pt>
                <c:pt idx="9">
                  <c:v>-0.94863042234170081</c:v>
                </c:pt>
                <c:pt idx="10">
                  <c:v>1.975340010852733</c:v>
                </c:pt>
                <c:pt idx="11">
                  <c:v>4.0515332817994576</c:v>
                </c:pt>
                <c:pt idx="12">
                  <c:v>4.5375897980258983</c:v>
                </c:pt>
                <c:pt idx="13">
                  <c:v>-1.4556766475516625</c:v>
                </c:pt>
                <c:pt idx="14">
                  <c:v>-1.1918169449561589</c:v>
                </c:pt>
                <c:pt idx="15">
                  <c:v>4.2976712991606547</c:v>
                </c:pt>
                <c:pt idx="16">
                  <c:v>3.5146847498721101</c:v>
                </c:pt>
                <c:pt idx="17">
                  <c:v>4.327869118956329</c:v>
                </c:pt>
                <c:pt idx="18">
                  <c:v>2.0133275558306352</c:v>
                </c:pt>
                <c:pt idx="19">
                  <c:v>-1.2166958884700207</c:v>
                </c:pt>
                <c:pt idx="20">
                  <c:v>1.5246207841199677</c:v>
                </c:pt>
                <c:pt idx="21">
                  <c:v>-2.772783707944626</c:v>
                </c:pt>
                <c:pt idx="22">
                  <c:v>3.5674606585534008</c:v>
                </c:pt>
                <c:pt idx="23">
                  <c:v>6.120787966078467</c:v>
                </c:pt>
                <c:pt idx="24">
                  <c:v>3.1988627053017638</c:v>
                </c:pt>
                <c:pt idx="25">
                  <c:v>2.4798899329459445</c:v>
                </c:pt>
                <c:pt idx="26">
                  <c:v>2.5024677908680459</c:v>
                </c:pt>
                <c:pt idx="27">
                  <c:v>3.1841030125898229</c:v>
                </c:pt>
                <c:pt idx="28">
                  <c:v>2.6620121783643924</c:v>
                </c:pt>
                <c:pt idx="29">
                  <c:v>0.73875121893749451</c:v>
                </c:pt>
                <c:pt idx="30">
                  <c:v>-1.4446323238999526</c:v>
                </c:pt>
                <c:pt idx="31">
                  <c:v>2.0749910162882301</c:v>
                </c:pt>
                <c:pt idx="32">
                  <c:v>1.3959345263025114</c:v>
                </c:pt>
                <c:pt idx="33">
                  <c:v>2.723677804323188</c:v>
                </c:pt>
                <c:pt idx="34">
                  <c:v>1.4582449049209245</c:v>
                </c:pt>
                <c:pt idx="35">
                  <c:v>2.5399328655955955</c:v>
                </c:pt>
                <c:pt idx="36">
                  <c:v>3.1471201640595581</c:v>
                </c:pt>
                <c:pt idx="37">
                  <c:v>3.219832381216392</c:v>
                </c:pt>
                <c:pt idx="38">
                  <c:v>3.5289731303715044</c:v>
                </c:pt>
                <c:pt idx="39">
                  <c:v>2.8838761945621627</c:v>
                </c:pt>
                <c:pt idx="40">
                  <c:v>-3.8739426471501304E-2</c:v>
                </c:pt>
                <c:pt idx="41">
                  <c:v>0.75835406896871405</c:v>
                </c:pt>
                <c:pt idx="42">
                  <c:v>1.8977605442401568</c:v>
                </c:pt>
                <c:pt idx="43">
                  <c:v>2.8501067462721963</c:v>
                </c:pt>
                <c:pt idx="44">
                  <c:v>2.5025344593052168</c:v>
                </c:pt>
                <c:pt idx="45">
                  <c:v>1.7822223910524571</c:v>
                </c:pt>
                <c:pt idx="46">
                  <c:v>1.0329900602556563</c:v>
                </c:pt>
                <c:pt idx="47">
                  <c:v>-0.83234249890882239</c:v>
                </c:pt>
                <c:pt idx="48">
                  <c:v>-3.4869246685241606</c:v>
                </c:pt>
                <c:pt idx="49">
                  <c:v>1.8133820846253812</c:v>
                </c:pt>
                <c:pt idx="50">
                  <c:v>0.75990182417076113</c:v>
                </c:pt>
                <c:pt idx="51">
                  <c:v>1.4649233785574367</c:v>
                </c:pt>
                <c:pt idx="52">
                  <c:v>1.339155677337267</c:v>
                </c:pt>
                <c:pt idx="53">
                  <c:v>1.6964736040023354</c:v>
                </c:pt>
                <c:pt idx="54">
                  <c:v>2.1050978969483936</c:v>
                </c:pt>
                <c:pt idx="55">
                  <c:v>1.0174720440094376</c:v>
                </c:pt>
                <c:pt idx="56">
                  <c:v>1.7350023584166152</c:v>
                </c:pt>
                <c:pt idx="57">
                  <c:v>2.3369225098717195</c:v>
                </c:pt>
                <c:pt idx="58">
                  <c:v>2.0359000955194162</c:v>
                </c:pt>
                <c:pt idx="59">
                  <c:v>-2.5951930898733266</c:v>
                </c:pt>
                <c:pt idx="60">
                  <c:v>5.7214966497173947</c:v>
                </c:pt>
                <c:pt idx="61">
                  <c:v>1.9055894925466887</c:v>
                </c:pt>
                <c:pt idx="62">
                  <c:v>2.0151584789802612</c:v>
                </c:pt>
                <c:pt idx="63">
                  <c:v>1.7782866908902406</c:v>
                </c:pt>
              </c:numCache>
            </c:numRef>
          </c:yVal>
          <c:smooth val="0"/>
          <c:extLst>
            <c:ext xmlns:c15="http://schemas.microsoft.com/office/drawing/2012/char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1-C12B-C44E-937F-9BB4BF1FCE89}"/>
            </c:ext>
          </c:extLst>
        </c:ser>
        <c:dLbls>
          <c:showLegendKey val="0"/>
          <c:showVal val="0"/>
          <c:showCatName val="0"/>
          <c:showSerName val="0"/>
          <c:showPercent val="0"/>
          <c:showBubbleSize val="0"/>
        </c:dLbls>
        <c:axId val="259810047"/>
        <c:axId val="259801983"/>
      </c:scatterChart>
      <c:valAx>
        <c:axId val="2598100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Lagged real stock return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0.0000"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59801983"/>
        <c:crosses val="autoZero"/>
        <c:crossBetween val="midCat"/>
      </c:valAx>
      <c:valAx>
        <c:axId val="2598019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GDP per</a:t>
                </a:r>
                <a:r>
                  <a:rPr lang="en-US" baseline="0"/>
                  <a:t> capital growth (%)</a:t>
                </a:r>
                <a:r>
                  <a:rPr lang="en-US"/>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VN"/>
            </a:p>
          </c:txPr>
        </c:title>
        <c:numFmt formatCode="#,##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5981004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Lagged stock return and GDP growth in India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VN"/>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47496515826535862"/>
                  <c:y val="-0.1475994319041194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trendlineLbl>
          </c:trendline>
          <c:xVal>
            <c:numRef>
              <c:f>India!$D$2:$D$35</c:f>
              <c:numCache>
                <c:formatCode>0.0000</c:formatCode>
                <c:ptCount val="34"/>
                <c:pt idx="1">
                  <c:v>38.508957080922784</c:v>
                </c:pt>
                <c:pt idx="2">
                  <c:v>19.16751054722274</c:v>
                </c:pt>
                <c:pt idx="3">
                  <c:v>25.11537423517786</c:v>
                </c:pt>
                <c:pt idx="4">
                  <c:v>2.3257420107634523</c:v>
                </c:pt>
                <c:pt idx="5">
                  <c:v>-36.562100942822454</c:v>
                </c:pt>
                <c:pt idx="6">
                  <c:v>-10.020516914689884</c:v>
                </c:pt>
                <c:pt idx="7">
                  <c:v>11.112382604754261</c:v>
                </c:pt>
                <c:pt idx="8">
                  <c:v>-33.172917186692878</c:v>
                </c:pt>
                <c:pt idx="9">
                  <c:v>46.86633427077988</c:v>
                </c:pt>
                <c:pt idx="10">
                  <c:v>-19.851523504064396</c:v>
                </c:pt>
                <c:pt idx="11">
                  <c:v>-21.434587104458032</c:v>
                </c:pt>
                <c:pt idx="12">
                  <c:v>-1.0960239116140453</c:v>
                </c:pt>
                <c:pt idx="13">
                  <c:v>50.369663818842803</c:v>
                </c:pt>
                <c:pt idx="14">
                  <c:v>6.3796942817108304</c:v>
                </c:pt>
                <c:pt idx="15">
                  <c:v>26.751683934273291</c:v>
                </c:pt>
                <c:pt idx="16">
                  <c:v>27.730512355584104</c:v>
                </c:pt>
                <c:pt idx="17">
                  <c:v>37.300900727270054</c:v>
                </c:pt>
                <c:pt idx="18">
                  <c:v>-81.318730868671224</c:v>
                </c:pt>
                <c:pt idx="19">
                  <c:v>45.513493393396267</c:v>
                </c:pt>
                <c:pt idx="20">
                  <c:v>4.517414776427195</c:v>
                </c:pt>
                <c:pt idx="21">
                  <c:v>-37.17215007391718</c:v>
                </c:pt>
                <c:pt idx="22">
                  <c:v>14.970140700670367</c:v>
                </c:pt>
                <c:pt idx="23">
                  <c:v>-3.481081649747388</c:v>
                </c:pt>
                <c:pt idx="24">
                  <c:v>20.632808245652626</c:v>
                </c:pt>
                <c:pt idx="25">
                  <c:v>-9.0526032869860309</c:v>
                </c:pt>
                <c:pt idx="26">
                  <c:v>-1.9793921333226505</c:v>
                </c:pt>
                <c:pt idx="27">
                  <c:v>21.861212110867129</c:v>
                </c:pt>
                <c:pt idx="28">
                  <c:v>-0.83619717658500647</c:v>
                </c:pt>
                <c:pt idx="29">
                  <c:v>7.6230385594912367</c:v>
                </c:pt>
                <c:pt idx="30">
                  <c:v>7.267200351380434</c:v>
                </c:pt>
                <c:pt idx="31">
                  <c:v>16.475892603129797</c:v>
                </c:pt>
                <c:pt idx="32">
                  <c:v>-2.4611536866654502</c:v>
                </c:pt>
                <c:pt idx="33">
                  <c:v>12.60620742729677</c:v>
                </c:pt>
              </c:numCache>
            </c:numRef>
          </c:xVal>
          <c:yVal>
            <c:numRef>
              <c:f>India!$C$2:$C$35</c:f>
              <c:numCache>
                <c:formatCode>0.0000</c:formatCode>
                <c:ptCount val="34"/>
                <c:pt idx="0">
                  <c:v>-1.11649067870081</c:v>
                </c:pt>
                <c:pt idx="1">
                  <c:v>3.2074038711631836</c:v>
                </c:pt>
                <c:pt idx="2">
                  <c:v>2.5415176038982246</c:v>
                </c:pt>
                <c:pt idx="3">
                  <c:v>4.4022389849656562</c:v>
                </c:pt>
                <c:pt idx="4">
                  <c:v>5.2883705640154766</c:v>
                </c:pt>
                <c:pt idx="5">
                  <c:v>5.2803636646938656</c:v>
                </c:pt>
                <c:pt idx="6">
                  <c:v>2.0035393245383837</c:v>
                </c:pt>
                <c:pt idx="7">
                  <c:v>4.0647529932628323</c:v>
                </c:pt>
                <c:pt idx="8">
                  <c:v>6.5741315534174838</c:v>
                </c:pt>
                <c:pt idx="9">
                  <c:v>1.8896629338906124</c:v>
                </c:pt>
                <c:pt idx="10">
                  <c:v>2.8406163283039021</c:v>
                </c:pt>
                <c:pt idx="11">
                  <c:v>1.922113949190507</c:v>
                </c:pt>
                <c:pt idx="12">
                  <c:v>5.8323620241838903</c:v>
                </c:pt>
                <c:pt idx="13">
                  <c:v>5.921153187025574</c:v>
                </c:pt>
                <c:pt idx="14">
                  <c:v>5.9937599280970311</c:v>
                </c:pt>
                <c:pt idx="15">
                  <c:v>6.1881969456868191</c:v>
                </c:pt>
                <c:pt idx="16">
                  <c:v>5.8755583427453573</c:v>
                </c:pt>
                <c:pt idx="17">
                  <c:v>1.6012458742202362</c:v>
                </c:pt>
                <c:pt idx="18">
                  <c:v>6.1221242465887116</c:v>
                </c:pt>
                <c:pt idx="19">
                  <c:v>6.7011689747237924</c:v>
                </c:pt>
                <c:pt idx="20">
                  <c:v>3.6917500596900688</c:v>
                </c:pt>
                <c:pt idx="21">
                  <c:v>3.9386731663401342</c:v>
                </c:pt>
                <c:pt idx="22">
                  <c:v>4.8577760404072023</c:v>
                </c:pt>
                <c:pt idx="23">
                  <c:v>5.887231793779435</c:v>
                </c:pt>
                <c:pt idx="24">
                  <c:v>6.4997797026776105</c:v>
                </c:pt>
                <c:pt idx="25">
                  <c:v>6.7415131997042188</c:v>
                </c:pt>
                <c:pt idx="26">
                  <c:v>5.4120551754963664</c:v>
                </c:pt>
                <c:pt idx="27">
                  <c:v>5.1568393876116225</c:v>
                </c:pt>
                <c:pt idx="28">
                  <c:v>2.7583625676199652</c:v>
                </c:pt>
                <c:pt idx="29">
                  <c:v>-6.9247950749089071</c:v>
                </c:pt>
                <c:pt idx="30">
                  <c:v>8.4257822138338767</c:v>
                </c:pt>
                <c:pt idx="31">
                  <c:v>6.5435487654791125</c:v>
                </c:pt>
                <c:pt idx="32">
                  <c:v>7.9093316530450153</c:v>
                </c:pt>
                <c:pt idx="33">
                  <c:v>5.4018582472717291</c:v>
                </c:pt>
              </c:numCache>
            </c:numRef>
          </c:yVal>
          <c:smooth val="0"/>
          <c:extLst>
            <c:ext xmlns:c15="http://schemas.microsoft.com/office/drawing/2012/char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1-B7FB-C54A-B860-E7C17750A610}"/>
            </c:ext>
          </c:extLst>
        </c:ser>
        <c:dLbls>
          <c:showLegendKey val="0"/>
          <c:showVal val="0"/>
          <c:showCatName val="0"/>
          <c:showSerName val="0"/>
          <c:showPercent val="0"/>
          <c:showBubbleSize val="0"/>
        </c:dLbls>
        <c:axId val="1140622655"/>
        <c:axId val="1140631615"/>
      </c:scatterChart>
      <c:valAx>
        <c:axId val="114062265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rPr>
                  <a:t>Lagged real stock return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VN"/>
            </a:p>
          </c:txPr>
        </c:title>
        <c:numFmt formatCode="0.0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140631615"/>
        <c:crosses val="autoZero"/>
        <c:crossBetween val="midCat"/>
      </c:valAx>
      <c:valAx>
        <c:axId val="11406316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rPr>
                  <a:t>GDP per capital growth (%) </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VN"/>
            </a:p>
          </c:txPr>
        </c:title>
        <c:numFmt formatCode="0.0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14062265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Compare!$B$2:$B$65</cx:f>
        <cx:lvl ptCount="64" formatCode="0.0000">
          <cx:pt idx="0">19.735149843897325</cx:pt>
          <cx:pt idx="1">-13.76634699373111</cx:pt>
          <cx:pt idx="2">16.063728089169818</cx:pt>
          <cx:pt idx="3">10.916188596055973</cx:pt>
          <cx:pt idx="4">7.0894162377759775</cx:pt>
          <cx:pt idx="5">-17.045920485980869</cx:pt>
          <cx:pt idx="6">15.536107277080966</cx:pt>
          <cx:pt idx="7">3.1093797704856936</cx:pt>
          <cx:pt idx="8">-17.522716202995149</cx:pt>
          <cx:pt idx="9">-5.740540765808797</cx:pt>
          <cx:pt idx="10">5.9509426183786642</cx:pt>
          <cx:pt idx="11">11.253070388506913</cx:pt>
          <cx:pt idx="12">-25.252079710010513</cx:pt>
          <cx:pt idx="13">-46.32038408276442</cx:pt>
          <cx:pt idx="14">18.277781323843882</cx:pt>
          <cx:pt idx="15">11.775200276814978</cx:pt>
          <cx:pt idx="16">-18.720655569661456</cx:pt>
          <cx:pt idx="17">-6.5745239104712372</cx:pt>
          <cx:pt idx="18">0.35374370625095075</cx:pt>
          <cx:pt idx="19">9.3821083985789873</cx:pt>
          <cx:pt idx="20">-20.571666435462021</cx:pt>
          <cx:pt idx="21">7.6370053959995472</cx:pt>
          <cx:pt idx="22">12.71933551915879</cx:pt>
          <cx:pt idx="23">-2.9096589724039275</cx:pt>
          <cx:pt idx="24">19.829791997957592</cx:pt>
          <cx:pt idx="25">11.747521366010567</cx:pt>
          <cx:pt idx="26">-1.6573420219881143</cx:pt>
          <cx:pt idx="27">7.6123829982933131</cx:pt>
          <cx:pt idx="28">19.271711769962906</cx:pt>
          <cx:pt idx="29">-12.182102528094163</cx:pt>
          <cx:pt idx="30">19.119328720048973</cx:pt>
          <cx:pt idx="31">1.3386661801137634</cx:pt>
          <cx:pt idx="32">3.8657379310918234</cx:pt>
          <cx:pt idx="33">-4.1586976916416489</cx:pt>
          <cx:pt idx="34">26.544085141531731</cx:pt>
          <cx:pt idx="35">15.520432381917217</cx:pt>
          <cx:pt idx="36">24.671268633416879</cx:pt>
          <cx:pt idx="37">22.088117285032801</cx:pt>
          <cx:pt idx="38">15.648383744671895</cx:pt>
          <cx:pt idx="39">-14.067680390973869</cx:pt>
          <cx:pt idx="40">-16.801456462387875</cx:pt>
          <cx:pt idx="41">-28.198923603230394</cx:pt>
          <cx:pt idx="42">21.142523894745821</cx:pt>
          <cx:pt idx="43">5.9345261142649068</cx:pt>
          <cx:pt idx="44">-0.43587325749222749</cx:pt>
          <cx:pt idx="45">9.5424915563420214</cx:pt>
          <cx:pt idx="46">0.6160435602158989</cx:pt>
          <cx:pt idx="47">-52.4293043656495</cx:pt>
          <cx:pt idx="48">21.425545860656417</cx:pt>
          <cx:pt idx="49">10.389242738968335</cx:pt>
          <cx:pt idx="50">-3.1592270173846986</cx:pt>
          <cx:pt idx="51">10.510008598042157</cx:pt>
          <cx:pt idx="52">24.464387993779489</cx:pt>
          <cx:pt idx="53">9.1650870384250265</cx:pt>
          <cx:pt idx="54">-0.84788132529079963</cx:pt>
          <cx:pt idx="55">7.8458258220789254</cx:pt>
          <cx:pt idx="56">15.617511110966479</cx:pt>
          <cx:pt idx="57">-8.8828467179527202</cx:pt>
          <cx:pt idx="58">23.557450847997043</cx:pt>
          <cx:pt idx="59">13.831375990739078</cx:pt>
          <cx:pt idx="60">19.119335882687267</cx:pt>
          <cx:pt idx="61">-29.623099390006047</cx:pt>
          <cx:pt idx="62">17.580513122624382</cx:pt>
          <cx:pt idx="63">18.00280174783769</cx:pt>
        </cx:lvl>
      </cx:numDim>
    </cx:data>
    <cx:data id="1">
      <cx:numDim type="val">
        <cx:f>Compare!$C$2:$C$65</cx:f>
        <cx:lvl ptCount="64" formatCode="General">
          <cx:pt idx="30">38.508957080922784</cx:pt>
          <cx:pt idx="31">19.16751054722274</cx:pt>
          <cx:pt idx="32">25.11537423517786</cx:pt>
          <cx:pt idx="33">2.3257420107634523</cx:pt>
          <cx:pt idx="34">-36.562100942822454</cx:pt>
          <cx:pt idx="35">-10.020516914689884</cx:pt>
          <cx:pt idx="36">11.112382604754261</cx:pt>
          <cx:pt idx="37">-33.172917186692878</cx:pt>
          <cx:pt idx="38">46.86633427077988</cx:pt>
          <cx:pt idx="39">-19.851523504064396</cx:pt>
          <cx:pt idx="40">-21.434587104458032</cx:pt>
          <cx:pt idx="41">-1.0960239116140453</cx:pt>
          <cx:pt idx="42">50.369663818842803</cx:pt>
          <cx:pt idx="43">6.3796942817108304</cx:pt>
          <cx:pt idx="44">26.751683934273291</cx:pt>
          <cx:pt idx="45">27.730512355584104</cx:pt>
          <cx:pt idx="46">37.300900727270054</cx:pt>
          <cx:pt idx="47">-81.318730868671224</cx:pt>
          <cx:pt idx="48">45.513493393396267</cx:pt>
          <cx:pt idx="49">4.517414776427195</cx:pt>
          <cx:pt idx="50">-37.17215007391718</cx:pt>
          <cx:pt idx="51">14.970140700670367</cx:pt>
          <cx:pt idx="52">-3.481081649747388</cx:pt>
          <cx:pt idx="53">20.632808245652626</cx:pt>
          <cx:pt idx="54">-9.0526032869860309</cx:pt>
          <cx:pt idx="55">-1.9793921333226505</cx:pt>
          <cx:pt idx="56">21.861212110867129</cx:pt>
          <cx:pt idx="57">-0.83619717658500647</cx:pt>
          <cx:pt idx="58">7.6230385594912367</cx:pt>
          <cx:pt idx="59">7.267200351380434</cx:pt>
          <cx:pt idx="60">16.475892603129797</cx:pt>
          <cx:pt idx="61">-2.4611536866654502</cx:pt>
          <cx:pt idx="62">12.60620742729677</cx:pt>
          <cx:pt idx="63">3.4854643262455891</cx:pt>
        </cx:lvl>
      </cx:numDim>
    </cx:data>
  </cx:chartData>
  <cx:chart>
    <cx:title pos="t" align="ctr" overlay="0">
      <cx:tx>
        <cx:txData>
          <cx:v>Real Stock Returns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Real Stock Returns</a:t>
          </a:r>
        </a:p>
      </cx:txPr>
    </cx:title>
    <cx:plotArea>
      <cx:plotAreaRegion>
        <cx:series layoutId="boxWhisker" uniqueId="{B08782D6-6715-1749-B475-BBA09F7741C4}">
          <cx:tx>
            <cx:txData>
              <cx:f>Compare!$B$1</cx:f>
              <cx:v>r_US</cx:v>
            </cx:txData>
          </cx:tx>
          <cx:dataId val="0"/>
          <cx:layoutPr>
            <cx:visibility meanLine="0" meanMarker="1" nonoutliers="0" outliers="1"/>
            <cx:statistics quartileMethod="exclusive"/>
          </cx:layoutPr>
        </cx:series>
        <cx:series layoutId="boxWhisker" uniqueId="{94E11364-4E9E-ED41-9796-AF7B96680037}">
          <cx:tx>
            <cx:txData>
              <cx:f>Compare!$C$1</cx:f>
              <cx:v>r_IN</cx:v>
            </cx:txData>
          </cx:tx>
          <cx:dataId val="1"/>
          <cx:layoutPr>
            <cx:visibility meanLine="0" meanMarker="1" nonoutliers="0" outliers="1"/>
            <cx:statistics quartileMethod="exclusive"/>
          </cx:layoutPr>
        </cx:series>
      </cx:plotAreaRegion>
      <cx:axis id="0">
        <cx:catScaling gapWidth="1"/>
        <cx:tickLabels/>
      </cx:axis>
      <cx:axis id="1">
        <cx:valScaling/>
        <cx:title>
          <cx:tx>
            <cx:txData>
              <cx:v>Returns (%)</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Returns (%)</a:t>
              </a:r>
            </a:p>
          </cx:txPr>
        </cx:title>
        <cx:majorGridlines/>
        <cx:tickLabels/>
        <cx:numFmt formatCode="#.##0,00" sourceLinked="0"/>
      </cx:axis>
    </cx:plotArea>
    <cx:legend pos="b" align="ctr" overlay="0"/>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Compare!$N$2:$N$65</cx:f>
        <cx:lvl ptCount="64" formatCode="0.0000">
          <cx:pt idx="0">0.61621865955938659</cx:pt>
          <cx:pt idx="1">4.3831886049307656</cx:pt>
          <cx:pt idx="2">2.866784184337412</cx:pt>
          <cx:pt idx="3">4.2489872884276636</cx:pt>
          <cx:pt idx="4">4.9533674463168254</cx:pt>
          <cx:pt idx="5">5.1425867253838575</cx:pt>
          <cx:pt idx="6">1.3803800517491638</cx:pt>
          <cx:pt idx="7">3.6898975462994699</cx:pt>
          <cx:pt idx="8">2.0756776916099895</cx:pt>
          <cx:pt idx="9">-0.94863042234170081</cx:pt>
          <cx:pt idx="10">1.975340010852733</cx:pt>
          <cx:pt idx="11">4.0515332817994576</cx:pt>
          <cx:pt idx="12">4.5375897980258983</cx:pt>
          <cx:pt idx="13">-1.4556766475516625</cx:pt>
          <cx:pt idx="14">-1.1918169449561589</cx:pt>
          <cx:pt idx="15">4.2976712991606547</cx:pt>
          <cx:pt idx="16">3.5146847498721101</cx:pt>
          <cx:pt idx="17">4.327869118956329</cx:pt>
          <cx:pt idx="18">2.0133275558306352</cx:pt>
          <cx:pt idx="19">-1.2166958884700207</cx:pt>
          <cx:pt idx="20">1.5246207841199677</cx:pt>
          <cx:pt idx="21">-2.772783707944626</cx:pt>
          <cx:pt idx="22">3.5674606585534008</cx:pt>
          <cx:pt idx="23">6.120787966078467</cx:pt>
          <cx:pt idx="24">3.1988627053017638</cx:pt>
          <cx:pt idx="25">2.4798899329459445</cx:pt>
          <cx:pt idx="26">2.5024677908680459</cx:pt>
          <cx:pt idx="27">3.1841030125898229</cx:pt>
          <cx:pt idx="28">2.6620121783643924</cx:pt>
          <cx:pt idx="29">0.73875121893749451</cx:pt>
          <cx:pt idx="30">-1.4446323238999526</cx:pt>
          <cx:pt idx="31">2.0749910162882301</cx:pt>
          <cx:pt idx="32">1.3959345263025114</cx:pt>
          <cx:pt idx="33">2.723677804323188</cx:pt>
          <cx:pt idx="34">1.4582449049209245</cx:pt>
          <cx:pt idx="35">2.5399328655955955</cx:pt>
          <cx:pt idx="36">3.1471201640595581</cx:pt>
          <cx:pt idx="37">3.219832381216392</cx:pt>
          <cx:pt idx="38">3.5289731303715044</cx:pt>
          <cx:pt idx="39">2.8838761945621627</cx:pt>
          <cx:pt idx="40">-0.038739426471501304</cx:pt>
          <cx:pt idx="41">0.75835406896871405</cx:pt>
          <cx:pt idx="42">1.8977605442401568</cx:pt>
          <cx:pt idx="43">2.8501067462721963</cx:pt>
          <cx:pt idx="44">2.5025344593052168</cx:pt>
          <cx:pt idx="45">1.7822223910524571</cx:pt>
          <cx:pt idx="46">1.0329900602556563</cx:pt>
          <cx:pt idx="47">-0.83234249890882239</cx:pt>
          <cx:pt idx="48">-3.4869246685241606</cx:pt>
          <cx:pt idx="49">1.8133820846253812</cx:pt>
          <cx:pt idx="50">0.75990182417076113</cx:pt>
          <cx:pt idx="51">1.4649233785574367</cx:pt>
          <cx:pt idx="52">1.339155677337267</cx:pt>
          <cx:pt idx="53">1.6964736040023354</cx:pt>
          <cx:pt idx="54">2.1050978969483936</cx:pt>
          <cx:pt idx="55">1.0174720440094376</cx:pt>
          <cx:pt idx="56">1.7350023584166152</cx:pt>
          <cx:pt idx="57">2.3369225098717195</cx:pt>
          <cx:pt idx="58">2.0359000955194162</cx:pt>
          <cx:pt idx="59">-2.5951930898733266</cx:pt>
          <cx:pt idx="60">5.7214966497173947</cx:pt>
          <cx:pt idx="61">1.9055894925466887</cx:pt>
          <cx:pt idx="62">2.0151584789802612</cx:pt>
          <cx:pt idx="63">1.7782866908902406</cx:pt>
        </cx:lvl>
      </cx:numDim>
    </cx:data>
    <cx:data id="1">
      <cx:numDim type="val">
        <cx:f>Compare!$O$2:$O$65</cx:f>
        <cx:lvl ptCount="64" formatCode="General">
          <cx:pt idx="30">-1.11649067870081</cx:pt>
          <cx:pt idx="31">3.2074038711631836</cx:pt>
          <cx:pt idx="32">2.5415176038982246</cx:pt>
          <cx:pt idx="33">4.4022389849656562</cx:pt>
          <cx:pt idx="34">5.2883705640154766</cx:pt>
          <cx:pt idx="35">5.2803636646938656</cx:pt>
          <cx:pt idx="36">2.0035393245383837</cx:pt>
          <cx:pt idx="37">4.0647529932628323</cx:pt>
          <cx:pt idx="38">6.5741315534174838</cx:pt>
          <cx:pt idx="39">1.8896629338906124</cx:pt>
          <cx:pt idx="40">2.8406163283039021</cx:pt>
          <cx:pt idx="41">1.922113949190507</cx:pt>
          <cx:pt idx="42">5.8323620241838903</cx:pt>
          <cx:pt idx="43">5.921153187025574</cx:pt>
          <cx:pt idx="44">5.9937599280970311</cx:pt>
          <cx:pt idx="45">6.1881969456868191</cx:pt>
          <cx:pt idx="46">5.8755583427453573</cx:pt>
          <cx:pt idx="47">1.6012458742202362</cx:pt>
          <cx:pt idx="48">6.1221242465887116</cx:pt>
          <cx:pt idx="49">6.7011689747237924</cx:pt>
          <cx:pt idx="50">3.6917500596900688</cx:pt>
          <cx:pt idx="51">3.9386731663401342</cx:pt>
          <cx:pt idx="52">4.8577760404072023</cx:pt>
          <cx:pt idx="53">5.887231793779435</cx:pt>
          <cx:pt idx="54">6.4997797026776105</cx:pt>
          <cx:pt idx="55">6.7415131997042188</cx:pt>
          <cx:pt idx="56">5.4120551754963664</cx:pt>
          <cx:pt idx="57">5.1568393876116225</cx:pt>
          <cx:pt idx="58">2.7583625676199652</cx:pt>
          <cx:pt idx="59">-6.9247950749089071</cx:pt>
          <cx:pt idx="60">8.4257822138338767</cx:pt>
          <cx:pt idx="61">6.5435487654791125</cx:pt>
          <cx:pt idx="62">7.9093316530450153</cx:pt>
          <cx:pt idx="63">5.4018582472717291</cx:pt>
        </cx:lvl>
      </cx:numDim>
    </cx:data>
  </cx:chartData>
  <cx:chart>
    <cx:title pos="t" align="ctr" overlay="0">
      <cx:tx>
        <cx:txData>
          <cx:v>GDP per Capita Growth</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Narrow" panose="02110004020202020204"/>
            </a:rPr>
            <a:t>GDP per Capita Growth</a:t>
          </a:r>
        </a:p>
      </cx:txPr>
    </cx:title>
    <cx:plotArea>
      <cx:plotAreaRegion>
        <cx:series layoutId="boxWhisker" uniqueId="{AED67FFD-C2B7-CD47-8AE7-582F837F9004}">
          <cx:tx>
            <cx:txData>
              <cx:f>Compare!$N$1</cx:f>
              <cx:v>Dy_US</cx:v>
            </cx:txData>
          </cx:tx>
          <cx:dataId val="0"/>
          <cx:layoutPr>
            <cx:visibility meanLine="0" meanMarker="1" nonoutliers="0" outliers="1"/>
            <cx:statistics quartileMethod="exclusive"/>
          </cx:layoutPr>
        </cx:series>
        <cx:series layoutId="boxWhisker" uniqueId="{AF2ED2B6-15BB-1B41-A7F9-FF4B00A60D72}">
          <cx:tx>
            <cx:txData>
              <cx:f>Compare!$O$1</cx:f>
              <cx:v>Dy_IN</cx:v>
            </cx:txData>
          </cx:tx>
          <cx:dataId val="1"/>
          <cx:layoutPr>
            <cx:visibility meanLine="0" meanMarker="1" nonoutliers="0" outliers="1"/>
            <cx:statistics quartileMethod="exclusive"/>
          </cx:layoutPr>
        </cx:series>
      </cx:plotAreaRegion>
      <cx:axis id="0">
        <cx:catScaling gapWidth="1"/>
        <cx:tickLabels/>
      </cx:axis>
      <cx:axis id="1">
        <cx:valScaling/>
        <cx:title>
          <cx:tx>
            <cx:txData>
              <cx:v>Growth (%)</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Aptos Narrow" panose="02110004020202020204"/>
                </a:rPr>
                <a:t>Growth (%)</a:t>
              </a:r>
            </a:p>
          </cx:txPr>
        </cx:title>
        <cx:majorGridlines/>
        <cx:tickLabels/>
        <cx:numFmt formatCode="#.##0,00" sourceLinked="0"/>
      </cx:axis>
    </cx:plotArea>
    <cx:legend pos="b"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1642</Words>
  <Characters>9362</Characters>
  <Application>Microsoft Office Word</Application>
  <DocSecurity>0</DocSecurity>
  <Lines>78</Lines>
  <Paragraphs>21</Paragraphs>
  <ScaleCrop>false</ScaleCrop>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 ĐÌNH PHÚC -001206024230 D4</dc:creator>
  <cp:keywords/>
  <dc:description/>
  <cp:lastModifiedBy>DƯ ĐÌNH PHÚC -001206024230 D4</cp:lastModifiedBy>
  <cp:revision>1</cp:revision>
  <dcterms:created xsi:type="dcterms:W3CDTF">2026-05-11T15:09:00Z</dcterms:created>
  <dcterms:modified xsi:type="dcterms:W3CDTF">2026-05-11T15:09:00Z</dcterms:modified>
</cp:coreProperties>
</file>