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NAINA MENON</w:t>
      </w:r>
    </w:p>
    <w:p>
      <w:pPr>
        <w:spacing w:after="80"/>
      </w:pPr>
      <w:r>
        <w:rPr>
          <w:b w:val="false"/>
          <w:bCs w:val="false"/>
        </w:rPr>
        <w:t xml:space="preserve">Finance Compliance Analyst in Mumbai with 7 years of AML, KYC, sanctions screening, transaction monitoring, case investigation, suspicious transaction reporting support, RBI compliance awareness, and compliance operations experience.</w:t>
      </w:r>
    </w:p>
    <w:p>
      <w:pPr>
        <w:spacing w:after="80"/>
      </w:pPr>
      <w:r>
        <w:rPr>
          <w:b w:val="false"/>
          <w:bCs w:val="false"/>
        </w:rPr>
        <w:t xml:space="preserve">Senior Compliance Analyst, FinTrust Payments, Mumbai, May 2021-Present. Reviewed AML alerts for merchant acquiring, wallet transactions, high-risk geographies, velocity spikes, and suspicious refund patterns. Investigated KYC documentation, beneficial ownership, sanctions hits, adverse media, and transaction narratives. Drafted case notes and escalation summaries for potential STR review. Reduced repeat false positives by 18% by documenting typologies and partnering with rules analysts. Built Excel dashboards for alert aging, reviewer throughput, high-risk segments, and closure reasons.</w:t>
      </w:r>
    </w:p>
    <w:p>
      <w:pPr>
        <w:spacing w:after="80"/>
      </w:pPr>
      <w:r>
        <w:rPr>
          <w:b w:val="false"/>
          <w:bCs w:val="false"/>
        </w:rPr>
        <w:t xml:space="preserve">Compliance Associate, Aster NBFC, Jul 2018-Apr 2021. Performed CDD, EDD, PAN/GST checks, address verification, and transaction monitoring queues.</w:t>
      </w:r>
    </w:p>
    <w:p>
      <w:pPr>
        <w:spacing w:after="80"/>
      </w:pPr>
      <w:r>
        <w:rPr>
          <w:b w:val="false"/>
          <w:bCs w:val="false"/>
        </w:rPr>
        <w:t xml:space="preserve">Skills: AML, KYC, CDD, EDD, transaction monitoring, sanctions screening, adverse media, case investigation, STR support, RBI awareness, Excel, Power Query basics, SQL exposure.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2026-04-30T21:08:12.712Z</dcterms:created>
  <dcterms:modified xsi:type="dcterms:W3CDTF">2026-04-30T21:08:12.712Z</dcterms:modified>
</cp:coreProperties>
</file>

<file path=docProps/custom.xml><?xml version="1.0" encoding="utf-8"?>
<Properties xmlns="http://schemas.openxmlformats.org/officeDocument/2006/custom-properties" xmlns:vt="http://schemas.openxmlformats.org/officeDocument/2006/docPropsVTypes"/>
</file>