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0D" w:rsidRPr="00E70426" w:rsidRDefault="00E70426" w:rsidP="0076374E">
      <w:pPr>
        <w:tabs>
          <w:tab w:val="left" w:pos="3510"/>
        </w:tabs>
        <w:rPr>
          <w:rFonts w:ascii="Arial" w:hAnsi="Arial" w:cs="Arial"/>
          <w:b/>
          <w:sz w:val="24"/>
          <w:szCs w:val="24"/>
          <w:u w:val="single"/>
        </w:rPr>
      </w:pPr>
      <w:r w:rsidRPr="00E70426">
        <w:rPr>
          <w:rFonts w:ascii="Arial" w:hAnsi="Arial" w:cs="Arial"/>
          <w:b/>
          <w:sz w:val="24"/>
          <w:szCs w:val="24"/>
          <w:u w:val="single"/>
        </w:rPr>
        <w:t xml:space="preserve">Results and </w:t>
      </w:r>
      <w:r w:rsidR="0076374E" w:rsidRPr="00E70426">
        <w:rPr>
          <w:rFonts w:ascii="Arial" w:hAnsi="Arial" w:cs="Arial"/>
          <w:b/>
          <w:sz w:val="24"/>
          <w:szCs w:val="24"/>
          <w:u w:val="single"/>
        </w:rPr>
        <w:t>Correlations</w:t>
      </w:r>
      <w:r w:rsidRPr="00E7042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76374E" w:rsidRPr="0076374E" w:rsidRDefault="0076374E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shows a sharp rise in total current assets which reflects a str</w:t>
      </w:r>
      <w:r w:rsidR="00674CF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ng liquidity position of the company.</w:t>
      </w:r>
    </w:p>
    <w:p w:rsidR="0076374E" w:rsidRPr="00674CF8" w:rsidRDefault="00674CF8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Liabilities for apple are increasing with time, which as a matter of fact is not a good thing.</w:t>
      </w:r>
    </w:p>
    <w:p w:rsidR="001E5CF0" w:rsidRPr="001E5CF0" w:rsidRDefault="00674CF8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 w:rsidRPr="00674CF8">
        <w:rPr>
          <w:rFonts w:ascii="Arial" w:hAnsi="Arial" w:cs="Arial"/>
          <w:sz w:val="24"/>
          <w:szCs w:val="24"/>
        </w:rPr>
        <w:t xml:space="preserve">Liquidity Ratio </w:t>
      </w:r>
      <w:r w:rsidRPr="00674CF8">
        <w:rPr>
          <w:rFonts w:ascii="Arial" w:hAnsi="Arial" w:cs="Arial"/>
          <w:color w:val="000000"/>
          <w:sz w:val="24"/>
          <w:szCs w:val="24"/>
          <w:shd w:val="clear" w:color="auto" w:fill="FFFFFF"/>
        </w:rPr>
        <w:t>is obtained by taking stock of Apple’s current assets versus its current liabilities. In Apple’s case, this is a</w:t>
      </w:r>
      <w:r w:rsidR="001E5CF0">
        <w:rPr>
          <w:rFonts w:ascii="Arial" w:hAnsi="Arial" w:cs="Arial"/>
          <w:color w:val="000000"/>
          <w:sz w:val="24"/>
          <w:szCs w:val="24"/>
          <w:shd w:val="clear" w:color="auto" w:fill="FFFFFF"/>
        </w:rPr>
        <w:t>lways</w:t>
      </w:r>
      <w:r w:rsidRPr="00674C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E5CF0">
        <w:rPr>
          <w:rFonts w:ascii="Arial" w:hAnsi="Arial" w:cs="Arial"/>
          <w:color w:val="000000"/>
          <w:sz w:val="24"/>
          <w:szCs w:val="24"/>
          <w:shd w:val="clear" w:color="auto" w:fill="FFFFFF"/>
        </w:rPr>
        <w:t>greater than</w:t>
      </w:r>
      <w:r w:rsidRPr="00674C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1.08, indicating the company has enough current assets on hand to cover its current liabilities.</w:t>
      </w:r>
    </w:p>
    <w:p w:rsidR="002C2D07" w:rsidRPr="002C2D07" w:rsidRDefault="00281DB5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Debt to Equity ratio for Apple has increased drastically. </w:t>
      </w:r>
      <w:r w:rsidRPr="00281DB5">
        <w:rPr>
          <w:rFonts w:ascii="Arial" w:hAnsi="Arial" w:cs="Arial"/>
          <w:sz w:val="24"/>
          <w:szCs w:val="24"/>
          <w:shd w:val="clear" w:color="auto" w:fill="FFFFFF"/>
        </w:rPr>
        <w:t xml:space="preserve">Companies with a higher debt to equity ratio are considered </w:t>
      </w:r>
      <w:r w:rsidRPr="00281DB5">
        <w:rPr>
          <w:rFonts w:ascii="Arial" w:hAnsi="Arial" w:cs="Arial"/>
          <w:sz w:val="24"/>
          <w:szCs w:val="24"/>
          <w:shd w:val="clear" w:color="auto" w:fill="FFFFFF"/>
        </w:rPr>
        <w:t>riskier</w:t>
      </w:r>
      <w:r w:rsidRPr="00281DB5">
        <w:rPr>
          <w:rFonts w:ascii="Arial" w:hAnsi="Arial" w:cs="Arial"/>
          <w:sz w:val="24"/>
          <w:szCs w:val="24"/>
          <w:shd w:val="clear" w:color="auto" w:fill="FFFFFF"/>
        </w:rPr>
        <w:t xml:space="preserve"> to creditors and investors than companies with a lower ratio.</w:t>
      </w:r>
    </w:p>
    <w:p w:rsidR="002C2D07" w:rsidRPr="002C2D07" w:rsidRDefault="002C2D07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Tangible Common Equity R</w:t>
      </w:r>
      <w:r w:rsidRPr="002C2D07">
        <w:rPr>
          <w:rFonts w:ascii="Arial" w:hAnsi="Arial" w:cs="Arial"/>
          <w:sz w:val="24"/>
          <w:szCs w:val="24"/>
          <w:shd w:val="clear" w:color="auto" w:fill="FDFDFD"/>
        </w:rPr>
        <w:t xml:space="preserve">atio is essentially a measure of leverage. A low ratio indicates possible </w:t>
      </w:r>
      <w:r w:rsidRPr="002C2D07">
        <w:rPr>
          <w:rFonts w:ascii="Arial" w:hAnsi="Arial" w:cs="Arial"/>
          <w:sz w:val="24"/>
          <w:szCs w:val="24"/>
          <w:shd w:val="clear" w:color="auto" w:fill="FDFDFD"/>
        </w:rPr>
        <w:t>overleveraging</w:t>
      </w:r>
      <w:r w:rsidRPr="002C2D07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.</w:t>
      </w:r>
      <w:r w:rsidRPr="002C2D0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C2D07">
        <w:rPr>
          <w:rFonts w:ascii="Arial" w:hAnsi="Arial" w:cs="Arial"/>
          <w:sz w:val="24"/>
          <w:szCs w:val="24"/>
          <w:shd w:val="clear" w:color="auto" w:fill="FFFFFF"/>
        </w:rPr>
        <w:t>Overleveraged is when a business is carrying too much debt, and is unable to pay interest payments from loans.</w:t>
      </w:r>
    </w:p>
    <w:p w:rsidR="007722E2" w:rsidRPr="007722E2" w:rsidRDefault="002C2D07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Apple’s Goodwill to Assets ratio increased dramatically for the year 2014. After that it achieved almost a constant rate. </w:t>
      </w:r>
      <w:r w:rsidRPr="002C2D07">
        <w:rPr>
          <w:rFonts w:ascii="Arial" w:hAnsi="Arial" w:cs="Arial"/>
          <w:sz w:val="24"/>
          <w:szCs w:val="24"/>
          <w:shd w:val="clear" w:color="auto" w:fill="FFFFFF"/>
        </w:rPr>
        <w:t>The value of a company's brand name, solid customer base, good customer relations, good employee relations and any patents or proprietary technology represent</w:t>
      </w:r>
      <w:r w:rsidRPr="002C2D0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goodwill</w:t>
      </w:r>
      <w:r w:rsidRPr="002C2D0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70426" w:rsidRPr="00E70426" w:rsidRDefault="007722E2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Apple’s retained Earnings have stayed in place.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Fonts w:ascii="Arial" w:hAnsi="Arial" w:cs="Arial"/>
          <w:bCs/>
          <w:sz w:val="24"/>
          <w:szCs w:val="24"/>
          <w:shd w:val="clear" w:color="auto" w:fill="FFFFFF"/>
        </w:rPr>
        <w:t>retained earnings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of a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Corporation" w:history="1">
        <w:r w:rsidRPr="0077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corporation</w:t>
        </w:r>
      </w:hyperlink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is the accumulated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Net income" w:history="1">
        <w:r w:rsidRPr="0077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net income</w:t>
        </w:r>
      </w:hyperlink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of the corporation.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When reinvested, those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retained earnings</w:t>
      </w:r>
      <w:r w:rsidRPr="007722E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 xml:space="preserve">are reflected as increases to assets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 </w:t>
      </w:r>
      <w:r w:rsidRPr="007722E2">
        <w:rPr>
          <w:rFonts w:ascii="Arial" w:hAnsi="Arial" w:cs="Arial"/>
          <w:sz w:val="24"/>
          <w:szCs w:val="24"/>
          <w:shd w:val="clear" w:color="auto" w:fill="FFFFFF"/>
        </w:rPr>
        <w:t>reductions to liabilities.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70426" w:rsidRPr="00E70426" w:rsidRDefault="00E70426" w:rsidP="0076374E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" w:hAnsi="Arial" w:cs="Arial"/>
          <w:b/>
          <w:sz w:val="24"/>
          <w:szCs w:val="24"/>
        </w:rPr>
      </w:pPr>
      <w:r w:rsidRPr="00E70426">
        <w:rPr>
          <w:rFonts w:ascii="Arial" w:hAnsi="Arial" w:cs="Arial"/>
          <w:sz w:val="24"/>
          <w:szCs w:val="24"/>
          <w:shd w:val="clear" w:color="auto" w:fill="FFFFFF"/>
        </w:rPr>
        <w:t xml:space="preserve">Surprisingly, Apple’s Long-term debts are increasing with each passing year. </w:t>
      </w:r>
      <w:r w:rsidRPr="00E70426">
        <w:rPr>
          <w:rFonts w:ascii="Arial" w:hAnsi="Arial" w:cs="Arial"/>
          <w:sz w:val="24"/>
          <w:szCs w:val="24"/>
          <w:shd w:val="clear" w:color="auto" w:fill="FFFFFF"/>
        </w:rPr>
        <w:t>Long-term debt consists of </w:t>
      </w:r>
      <w:r w:rsidRPr="00E70426">
        <w:rPr>
          <w:rFonts w:ascii="Arial" w:hAnsi="Arial" w:cs="Arial"/>
          <w:sz w:val="24"/>
          <w:szCs w:val="24"/>
        </w:rPr>
        <w:t>loans</w:t>
      </w:r>
      <w:r w:rsidRPr="00E7042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70426">
        <w:rPr>
          <w:rFonts w:ascii="Arial" w:hAnsi="Arial" w:cs="Arial"/>
          <w:sz w:val="24"/>
          <w:szCs w:val="24"/>
          <w:shd w:val="clear" w:color="auto" w:fill="FFFFFF"/>
        </w:rPr>
        <w:t>and financial obligations lasting over one year. Long-term debt for a company would include any financing or</w:t>
      </w:r>
      <w:r w:rsidRPr="00E7042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E70426">
        <w:rPr>
          <w:rFonts w:ascii="Arial" w:hAnsi="Arial" w:cs="Arial"/>
          <w:sz w:val="24"/>
          <w:szCs w:val="24"/>
        </w:rPr>
        <w:t>leas</w:t>
      </w:r>
      <w:r w:rsidRPr="00E70426">
        <w:rPr>
          <w:rFonts w:ascii="Arial" w:hAnsi="Arial" w:cs="Arial"/>
          <w:sz w:val="24"/>
          <w:szCs w:val="24"/>
        </w:rPr>
        <w:t>i</w:t>
      </w:r>
      <w:r w:rsidRPr="00E70426">
        <w:rPr>
          <w:rFonts w:ascii="Arial" w:hAnsi="Arial" w:cs="Arial"/>
          <w:sz w:val="24"/>
          <w:szCs w:val="24"/>
        </w:rPr>
        <w:t>ng</w:t>
      </w:r>
      <w:r w:rsidRPr="00E70426">
        <w:rPr>
          <w:rFonts w:ascii="Arial" w:hAnsi="Arial" w:cs="Arial"/>
          <w:sz w:val="24"/>
          <w:szCs w:val="24"/>
          <w:shd w:val="clear" w:color="auto" w:fill="FFFFFF"/>
        </w:rPr>
        <w:t> obligations that are to come due in a greater than 12-month period.</w:t>
      </w:r>
    </w:p>
    <w:p w:rsidR="00E70426" w:rsidRDefault="00E70426" w:rsidP="00E70426">
      <w:pPr>
        <w:tabs>
          <w:tab w:val="left" w:pos="3510"/>
        </w:tabs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E70426" w:rsidRDefault="00E70426" w:rsidP="00E70426">
      <w:pPr>
        <w:tabs>
          <w:tab w:val="left" w:pos="3510"/>
        </w:tabs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Interpretation and Possible Value Addition</w:t>
      </w:r>
    </w:p>
    <w:p w:rsidR="0091567B" w:rsidRPr="0091567B" w:rsidRDefault="00FF614E" w:rsidP="0091567B">
      <w:pPr>
        <w:pStyle w:val="ListParagraph"/>
        <w:numPr>
          <w:ilvl w:val="0"/>
          <w:numId w:val="5"/>
        </w:numPr>
        <w:tabs>
          <w:tab w:val="left" w:pos="3510"/>
        </w:tabs>
        <w:rPr>
          <w:rFonts w:ascii="Arial" w:hAnsi="Arial" w:cs="Arial"/>
          <w:b/>
          <w:sz w:val="24"/>
          <w:szCs w:val="24"/>
          <w:u w:val="single"/>
        </w:rPr>
      </w:pPr>
      <w:r w:rsidRPr="0091567B">
        <w:rPr>
          <w:rFonts w:ascii="Arial" w:hAnsi="Arial" w:cs="Arial"/>
          <w:sz w:val="24"/>
          <w:szCs w:val="24"/>
          <w:shd w:val="clear" w:color="auto" w:fill="FFFFFF"/>
        </w:rPr>
        <w:t>Apple has short-term creditors and long-term liabilities that need to be offset against assets.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>Investors in Apple stock have no reason to worry about the company's financial strength.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91567B" w:rsidRPr="0091567B" w:rsidRDefault="00FF614E" w:rsidP="0091567B">
      <w:pPr>
        <w:pStyle w:val="ListParagraph"/>
        <w:numPr>
          <w:ilvl w:val="0"/>
          <w:numId w:val="5"/>
        </w:numPr>
        <w:tabs>
          <w:tab w:val="left" w:pos="3510"/>
        </w:tabs>
        <w:rPr>
          <w:rFonts w:ascii="Arial" w:hAnsi="Arial" w:cs="Arial"/>
          <w:b/>
          <w:sz w:val="24"/>
          <w:szCs w:val="24"/>
          <w:u w:val="single"/>
        </w:rPr>
      </w:pPr>
      <w:r w:rsidRPr="0091567B">
        <w:rPr>
          <w:rFonts w:ascii="Arial" w:hAnsi="Arial" w:cs="Arial"/>
          <w:sz w:val="24"/>
          <w:szCs w:val="24"/>
          <w:shd w:val="clear" w:color="auto" w:fill="FFFFFF"/>
        </w:rPr>
        <w:t>Notably, Apple made two big bond issues, for $17 billion in 2013 and $12 billion in 2014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>By issuing debt to distribute dividends and repurchase stock, the company is smartly saving a lot of money on taxes.</w:t>
      </w:r>
    </w:p>
    <w:p w:rsidR="00E70426" w:rsidRPr="0091567B" w:rsidRDefault="00FF614E" w:rsidP="0091567B">
      <w:pPr>
        <w:pStyle w:val="ListParagraph"/>
        <w:numPr>
          <w:ilvl w:val="0"/>
          <w:numId w:val="5"/>
        </w:numPr>
        <w:tabs>
          <w:tab w:val="left" w:pos="3510"/>
        </w:tabs>
        <w:rPr>
          <w:rStyle w:val="apple-converted-space"/>
          <w:rFonts w:ascii="Arial" w:hAnsi="Arial" w:cs="Arial"/>
          <w:b/>
          <w:sz w:val="24"/>
          <w:szCs w:val="24"/>
          <w:u w:val="single"/>
        </w:rPr>
      </w:pPr>
      <w:r w:rsidRPr="0091567B">
        <w:rPr>
          <w:rFonts w:ascii="Arial" w:hAnsi="Arial" w:cs="Arial"/>
          <w:sz w:val="24"/>
          <w:szCs w:val="24"/>
          <w:shd w:val="clear" w:color="auto" w:fill="FFFFFF"/>
        </w:rPr>
        <w:t>Apple could easily cover dividends and buybacks with the cash it generates from the business, so the only reason to issue debt is to save money on taxes.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1567B">
        <w:rPr>
          <w:rFonts w:ascii="Arial" w:hAnsi="Arial" w:cs="Arial"/>
          <w:sz w:val="24"/>
          <w:szCs w:val="24"/>
          <w:shd w:val="clear" w:color="auto" w:fill="FFFFFF"/>
        </w:rPr>
        <w:t>The business is generating huge amounts of cash on a recurrent basis, and Apple is distributing a considerable part of that money to shareholders via dividends and buybacks.</w:t>
      </w:r>
      <w:r w:rsidRPr="0091567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91567B" w:rsidRPr="0091567B" w:rsidRDefault="0091567B" w:rsidP="0091567B">
      <w:pPr>
        <w:pStyle w:val="ListParagraph"/>
        <w:tabs>
          <w:tab w:val="left" w:pos="3510"/>
        </w:tabs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91567B" w:rsidRPr="009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78A"/>
    <w:multiLevelType w:val="hybridMultilevel"/>
    <w:tmpl w:val="95CAD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F3741"/>
    <w:multiLevelType w:val="hybridMultilevel"/>
    <w:tmpl w:val="FA00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2E85"/>
    <w:multiLevelType w:val="hybridMultilevel"/>
    <w:tmpl w:val="E6DA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84D1F"/>
    <w:multiLevelType w:val="hybridMultilevel"/>
    <w:tmpl w:val="D166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024BD"/>
    <w:multiLevelType w:val="hybridMultilevel"/>
    <w:tmpl w:val="655A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4E"/>
    <w:rsid w:val="001E5CF0"/>
    <w:rsid w:val="00281DB5"/>
    <w:rsid w:val="002C2D07"/>
    <w:rsid w:val="00674CF8"/>
    <w:rsid w:val="006E0F0D"/>
    <w:rsid w:val="0076374E"/>
    <w:rsid w:val="007722E2"/>
    <w:rsid w:val="0091567B"/>
    <w:rsid w:val="00E70426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C34F"/>
  <w15:chartTrackingRefBased/>
  <w15:docId w15:val="{465B8D3E-E070-41DB-AF37-E730D1E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4CF8"/>
  </w:style>
  <w:style w:type="character" w:styleId="Hyperlink">
    <w:name w:val="Hyperlink"/>
    <w:basedOn w:val="DefaultParagraphFont"/>
    <w:uiPriority w:val="99"/>
    <w:semiHidden/>
    <w:unhideWhenUsed/>
    <w:rsid w:val="00674C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2D0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70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_income" TargetMode="External"/><Relationship Id="rId5" Type="http://schemas.openxmlformats.org/officeDocument/2006/relationships/hyperlink" Target="https://en.wikipedia.org/wiki/Corp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1</cp:revision>
  <dcterms:created xsi:type="dcterms:W3CDTF">2016-11-16T18:16:00Z</dcterms:created>
  <dcterms:modified xsi:type="dcterms:W3CDTF">2016-11-16T20:58:00Z</dcterms:modified>
</cp:coreProperties>
</file>