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5C" w:rsidRDefault="004F461F" w:rsidP="004F461F">
      <w:pPr>
        <w:jc w:val="center"/>
        <w:rPr>
          <w:sz w:val="28"/>
          <w:szCs w:val="28"/>
        </w:rPr>
      </w:pPr>
      <w:r>
        <w:rPr>
          <w:sz w:val="28"/>
          <w:szCs w:val="28"/>
        </w:rPr>
        <w:t>Magnetic field in a conductor</w:t>
      </w:r>
    </w:p>
    <w:p w:rsidR="004F461F" w:rsidRDefault="004F461F" w:rsidP="004F461F">
      <w:pPr>
        <w:jc w:val="center"/>
      </w:pPr>
      <w:r>
        <w:t>Group 12</w:t>
      </w:r>
    </w:p>
    <w:p w:rsidR="004F461F" w:rsidRDefault="00D225B9" w:rsidP="004F461F">
      <w:pPr>
        <w:jc w:val="center"/>
      </w:pPr>
      <w:r>
        <w:t>Chirag Deshpande a</w:t>
      </w:r>
      <w:r w:rsidR="004F461F">
        <w:t>nd Samyak Jain</w:t>
      </w:r>
    </w:p>
    <w:p w:rsidR="00CC15B9" w:rsidRDefault="00CC15B9" w:rsidP="00CC15B9">
      <w:r>
        <w:t xml:space="preserve">Aim:   </w:t>
      </w:r>
      <w:r w:rsidRPr="00CC15B9">
        <w:t>Determination of the magnetic field inside a conductor as a function</w:t>
      </w:r>
      <w:r>
        <w:t>.</w:t>
      </w:r>
    </w:p>
    <w:p w:rsidR="00CC15B9" w:rsidRDefault="00CC15B9" w:rsidP="00CC15B9">
      <w:r>
        <w:t xml:space="preserve"> 1. Of the current in the conductor.</w:t>
      </w:r>
    </w:p>
    <w:p w:rsidR="00CC15B9" w:rsidRDefault="00CC15B9" w:rsidP="00CC15B9">
      <w:r>
        <w:t>2. O</w:t>
      </w:r>
      <w:r w:rsidRPr="00CC15B9">
        <w:t>f the distance from the axis of the conductor</w:t>
      </w:r>
      <w:r>
        <w:t>.</w:t>
      </w:r>
    </w:p>
    <w:p w:rsidR="00CC15B9" w:rsidRDefault="00CC15B9" w:rsidP="00CC15B9">
      <w:r>
        <w:t>Apparatus:</w:t>
      </w:r>
    </w:p>
    <w:p w:rsidR="00CC15B9" w:rsidRDefault="00CC15B9" w:rsidP="00CC15B9">
      <w:r>
        <w:t>Hollow cylinder, Power frequency, LF amplifier, Digital multimeter , plug pair, Meter scale, Tripod base, Connecting cord, Connecting cord, Hydrochloric acid.</w:t>
      </w:r>
    </w:p>
    <w:p w:rsidR="004F461F" w:rsidRDefault="004F461F" w:rsidP="004F461F">
      <w:r>
        <w:t>Procedure:</w:t>
      </w:r>
    </w:p>
    <w:p w:rsidR="004F461F" w:rsidRDefault="004F461F" w:rsidP="004F461F">
      <w:pPr>
        <w:pStyle w:val="ListParagraph"/>
        <w:numPr>
          <w:ilvl w:val="0"/>
          <w:numId w:val="1"/>
        </w:numPr>
      </w:pPr>
      <w:r>
        <w:t>A hollow metallic cylinder was first filled with the conductor HCl and then the connections were properly.</w:t>
      </w:r>
    </w:p>
    <w:p w:rsidR="004F461F" w:rsidRDefault="004F461F" w:rsidP="004F461F">
      <w:pPr>
        <w:pStyle w:val="ListParagraph"/>
        <w:numPr>
          <w:ilvl w:val="0"/>
          <w:numId w:val="1"/>
        </w:numPr>
      </w:pPr>
      <w:r>
        <w:t>The coil was dipped in the conductor at a particular radius and the current was varied.</w:t>
      </w:r>
    </w:p>
    <w:p w:rsidR="004F461F" w:rsidRDefault="004F461F" w:rsidP="004F461F">
      <w:pPr>
        <w:pStyle w:val="ListParagraph"/>
        <w:numPr>
          <w:ilvl w:val="0"/>
          <w:numId w:val="1"/>
        </w:numPr>
      </w:pPr>
      <w:r>
        <w:t>In the next part of the experiment the current was kept constant and the coil was moved from top part of the cylinder to the bottom part of the cylinder.</w:t>
      </w:r>
    </w:p>
    <w:p w:rsidR="00CC15B9" w:rsidRDefault="00CC15B9" w:rsidP="00CC15B9">
      <w:r>
        <w:t>Observations: experiment part 1</w:t>
      </w:r>
    </w:p>
    <w:tbl>
      <w:tblPr>
        <w:tblW w:w="2560" w:type="dxa"/>
        <w:tblInd w:w="108" w:type="dxa"/>
        <w:tblLook w:val="04A0" w:firstRow="1" w:lastRow="0" w:firstColumn="1" w:lastColumn="0" w:noHBand="0" w:noVBand="1"/>
      </w:tblPr>
      <w:tblGrid>
        <w:gridCol w:w="1280"/>
        <w:gridCol w:w="1280"/>
      </w:tblGrid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current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voltage(v)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0.029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0.025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0.024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0.028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0.024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0.023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0.022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0.025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0.021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0.65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0.028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0.85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0.95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  <w:tr w:rsidR="00CC15B9" w:rsidRPr="00CC15B9" w:rsidTr="00CC15B9">
        <w:trPr>
          <w:trHeight w:val="28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</w:tr>
    </w:tbl>
    <w:p w:rsidR="00CC15B9" w:rsidRDefault="00CC15B9" w:rsidP="00CC15B9">
      <w:pPr>
        <w:ind w:left="360"/>
      </w:pPr>
    </w:p>
    <w:p w:rsidR="00CC15B9" w:rsidRDefault="00CC15B9" w:rsidP="00CC15B9">
      <w:pPr>
        <w:pStyle w:val="ListParagraph"/>
      </w:pPr>
      <w:r>
        <w:lastRenderedPageBreak/>
        <w:t>Experiment part 2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1675"/>
        <w:gridCol w:w="2085"/>
        <w:gridCol w:w="222"/>
      </w:tblGrid>
      <w:tr w:rsidR="00CC15B9" w:rsidRPr="00CC15B9" w:rsidTr="00CC15B9">
        <w:trPr>
          <w:trHeight w:val="285"/>
        </w:trPr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CC15B9">
              <w:rPr>
                <w:rFonts w:eastAsia="Times New Roman" w:cs="Times New Roman"/>
                <w:color w:val="000000"/>
                <w:lang w:eastAsia="en-IN"/>
              </w:rPr>
              <w:t>Initial reading(from top)=66cm</w:t>
            </w: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distance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voltage(v)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0.029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1.5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2.5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3.5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0.025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4.5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0.024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0.026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5.5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0.027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6.5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0.028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0.029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7.5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0.029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8.5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0.031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  <w:tr w:rsidR="00CC15B9" w:rsidRPr="00CC15B9" w:rsidTr="00CC15B9">
        <w:trPr>
          <w:trHeight w:val="285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9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  <w:r w:rsidRPr="00CC15B9">
              <w:rPr>
                <w:rFonts w:ascii="Liberation Sans" w:eastAsia="Times New Roman" w:hAnsi="Liberation Sans" w:cs="Times New Roman"/>
                <w:color w:val="000000"/>
                <w:lang w:eastAsia="en-IN"/>
              </w:rPr>
              <w:t>0.032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15B9" w:rsidRPr="00CC15B9" w:rsidRDefault="00CC15B9" w:rsidP="00CC15B9">
            <w:pPr>
              <w:spacing w:after="0" w:line="240" w:lineRule="auto"/>
              <w:jc w:val="right"/>
              <w:rPr>
                <w:rFonts w:ascii="Liberation Sans" w:eastAsia="Times New Roman" w:hAnsi="Liberation Sans" w:cs="Times New Roman"/>
                <w:color w:val="000000"/>
                <w:lang w:eastAsia="en-IN"/>
              </w:rPr>
            </w:pPr>
          </w:p>
        </w:tc>
      </w:tr>
    </w:tbl>
    <w:p w:rsidR="00CC15B9" w:rsidRDefault="00CC15B9" w:rsidP="00CC15B9">
      <w:r>
        <w:t>Graphs:</w:t>
      </w:r>
    </w:p>
    <w:p w:rsidR="00CC15B9" w:rsidRDefault="00CC15B9" w:rsidP="00CC15B9">
      <w:r>
        <w:t>Experiment part 1</w:t>
      </w:r>
    </w:p>
    <w:p w:rsidR="00411BB3" w:rsidRDefault="00411BB3" w:rsidP="00CC15B9">
      <w:r>
        <w:rPr>
          <w:noProof/>
          <w:lang w:eastAsia="en-IN"/>
        </w:rPr>
        <w:drawing>
          <wp:inline distT="0" distB="0" distL="0" distR="0" wp14:anchorId="7959D4E9" wp14:editId="5C7C96A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1741" w:rsidRDefault="003B1741" w:rsidP="00CC15B9"/>
    <w:p w:rsidR="003B1741" w:rsidRDefault="003B1741" w:rsidP="00CC15B9"/>
    <w:p w:rsidR="003B1741" w:rsidRDefault="003B1741" w:rsidP="00CC15B9"/>
    <w:p w:rsidR="003B1741" w:rsidRDefault="003B1741" w:rsidP="00CC15B9"/>
    <w:p w:rsidR="00CC15B9" w:rsidRDefault="00411BB3" w:rsidP="00CC15B9">
      <w:r>
        <w:lastRenderedPageBreak/>
        <w:t>Experiment part 2</w:t>
      </w:r>
    </w:p>
    <w:p w:rsidR="003B1741" w:rsidRDefault="003B1741" w:rsidP="00CC15B9">
      <w:r>
        <w:rPr>
          <w:noProof/>
          <w:lang w:eastAsia="en-IN"/>
        </w:rPr>
        <w:drawing>
          <wp:inline distT="0" distB="0" distL="0" distR="0" wp14:anchorId="64062C3D" wp14:editId="24D5985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11BB3" w:rsidRDefault="00411BB3" w:rsidP="00CC15B9"/>
    <w:p w:rsidR="004F461F" w:rsidRDefault="004F461F" w:rsidP="004F461F">
      <w:r>
        <w:t>Precautions:</w:t>
      </w:r>
    </w:p>
    <w:p w:rsidR="004F461F" w:rsidRDefault="004F461F" w:rsidP="004F461F">
      <w:pPr>
        <w:pStyle w:val="ListParagraph"/>
        <w:numPr>
          <w:ilvl w:val="0"/>
          <w:numId w:val="2"/>
        </w:numPr>
      </w:pPr>
      <w:r w:rsidRPr="004F461F">
        <w:t>The aperture must not be tightly closed, so that gases released (H2, O2) can escape.</w:t>
      </w:r>
    </w:p>
    <w:p w:rsidR="00D225B9" w:rsidRDefault="00D225B9" w:rsidP="004F461F">
      <w:pPr>
        <w:pStyle w:val="ListParagraph"/>
        <w:numPr>
          <w:ilvl w:val="0"/>
          <w:numId w:val="2"/>
        </w:numPr>
      </w:pPr>
      <w:r w:rsidRPr="00D225B9">
        <w:t>Account must be taken of the fact that the magnetic field stren</w:t>
      </w:r>
      <w:r>
        <w:t xml:space="preserve">gths to be measured lie in the micro </w:t>
      </w:r>
      <w:r w:rsidRPr="00D225B9">
        <w:t>T</w:t>
      </w:r>
      <w:r>
        <w:t xml:space="preserve">esla </w:t>
      </w:r>
      <w:r w:rsidRPr="00D225B9">
        <w:t>range, i.e. the cables carrying the current - especially the return lead – also produce a magnetic field which is of the same order of magnitude.</w:t>
      </w:r>
    </w:p>
    <w:p w:rsidR="00D225B9" w:rsidRDefault="00D225B9" w:rsidP="004F461F">
      <w:pPr>
        <w:pStyle w:val="ListParagraph"/>
        <w:numPr>
          <w:ilvl w:val="0"/>
          <w:numId w:val="2"/>
        </w:numPr>
      </w:pPr>
      <w:r>
        <w:t>Current should be kept less than 1 ampere.</w:t>
      </w:r>
    </w:p>
    <w:p w:rsidR="00411BB3" w:rsidRDefault="00411BB3" w:rsidP="00411BB3">
      <w:r>
        <w:t>Result:</w:t>
      </w:r>
    </w:p>
    <w:p w:rsidR="00411BB3" w:rsidRPr="00411BB3" w:rsidRDefault="00411BB3" w:rsidP="00411BB3">
      <w:r>
        <w:rPr>
          <w:lang w:val="en-US"/>
        </w:rPr>
        <w:t xml:space="preserve">Function of magnetic force with current in the conductor </w:t>
      </w:r>
      <w:r w:rsidRPr="00411BB3">
        <w:rPr>
          <w:lang w:val="en-US"/>
        </w:rPr>
        <w:t>y = 0.0009x + 0.0253</w:t>
      </w:r>
    </w:p>
    <w:p w:rsidR="00411BB3" w:rsidRPr="004F461F" w:rsidRDefault="00411BB3" w:rsidP="00411BB3"/>
    <w:sectPr w:rsidR="00411BB3" w:rsidRPr="004F461F" w:rsidSect="00CA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510ED"/>
    <w:multiLevelType w:val="hybridMultilevel"/>
    <w:tmpl w:val="EF2CE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0F6F"/>
    <w:multiLevelType w:val="hybridMultilevel"/>
    <w:tmpl w:val="F35A5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461F"/>
    <w:rsid w:val="003B1741"/>
    <w:rsid w:val="00411BB3"/>
    <w:rsid w:val="004F461F"/>
    <w:rsid w:val="00CA2F5C"/>
    <w:rsid w:val="00CC15B9"/>
    <w:rsid w:val="00D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1B317-9304-4F15-94C8-DF7829A9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6-Magnetic%20field%20inside%20a%20conductor\magnetic%20feild%20inside%20a%20conductor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BITS%20LMS\2-1\EMT%20&amp;%20Optics%20lab\6-Magnetic%20field%20inside%20a%20conductor\magnetic%20feild%20inside%20a%20conductor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IN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voltage(v)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voltage(v)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5"/>
          </c:marker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1"/>
            <c:trendlineLbl>
              <c:layout>
                <c:manualLayout>
                  <c:x val="0.16562314085739283"/>
                  <c:y val="-0.23507655293088364"/>
                </c:manualLayout>
              </c:layout>
              <c:numFmt formatCode="General" sourceLinked="0"/>
            </c:trendlineLbl>
          </c:trendline>
          <c:xVal>
            <c:numRef>
              <c:f>Sheet1!$A$6:$A$26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</c:numCache>
            </c:numRef>
          </c:xVal>
          <c:yVal>
            <c:numRef>
              <c:f>Sheet1!$B$6:$B$26</c:f>
              <c:numCache>
                <c:formatCode>General</c:formatCode>
                <c:ptCount val="21"/>
                <c:pt idx="0">
                  <c:v>2.9000000000000001E-2</c:v>
                </c:pt>
                <c:pt idx="1">
                  <c:v>2.5000000000000001E-2</c:v>
                </c:pt>
                <c:pt idx="2">
                  <c:v>2.4E-2</c:v>
                </c:pt>
                <c:pt idx="3">
                  <c:v>2.8000000000000001E-2</c:v>
                </c:pt>
                <c:pt idx="4">
                  <c:v>2.7E-2</c:v>
                </c:pt>
                <c:pt idx="5">
                  <c:v>2.4E-2</c:v>
                </c:pt>
                <c:pt idx="6">
                  <c:v>2.3E-2</c:v>
                </c:pt>
                <c:pt idx="7">
                  <c:v>2.1999999999999999E-2</c:v>
                </c:pt>
                <c:pt idx="8">
                  <c:v>2.5999999999999999E-2</c:v>
                </c:pt>
                <c:pt idx="9">
                  <c:v>2.5999999999999999E-2</c:v>
                </c:pt>
                <c:pt idx="10">
                  <c:v>2.5000000000000001E-2</c:v>
                </c:pt>
                <c:pt idx="11">
                  <c:v>2.1000000000000001E-2</c:v>
                </c:pt>
                <c:pt idx="12">
                  <c:v>2.5999999999999999E-2</c:v>
                </c:pt>
                <c:pt idx="13">
                  <c:v>2.7E-2</c:v>
                </c:pt>
                <c:pt idx="14">
                  <c:v>2.8000000000000001E-2</c:v>
                </c:pt>
                <c:pt idx="15">
                  <c:v>2.7E-2</c:v>
                </c:pt>
                <c:pt idx="16">
                  <c:v>2.5999999999999999E-2</c:v>
                </c:pt>
                <c:pt idx="17">
                  <c:v>2.7E-2</c:v>
                </c:pt>
                <c:pt idx="18">
                  <c:v>2.7E-2</c:v>
                </c:pt>
                <c:pt idx="19">
                  <c:v>2.5999999999999999E-2</c:v>
                </c:pt>
                <c:pt idx="20">
                  <c:v>2.5999999999999999E-2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3970000"/>
        <c:axId val="873962384"/>
      </c:scatterChart>
      <c:valAx>
        <c:axId val="87396238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F7FAFD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73970000"/>
        <c:crosses val="autoZero"/>
        <c:crossBetween val="midCat"/>
      </c:valAx>
      <c:valAx>
        <c:axId val="8739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73962384"/>
        <c:crosses val="autoZero"/>
        <c:crossBetween val="midCat"/>
      </c:valAx>
      <c:spPr>
        <a:noFill/>
        <a:ln w="9528">
          <a:solidFill>
            <a:srgbClr val="5B9BD5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en-IN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voltage(v)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Sheet1!$B$29</c:f>
              <c:strCache>
                <c:ptCount val="1"/>
                <c:pt idx="0">
                  <c:v>voltage(v)</c:v>
                </c:pt>
              </c:strCache>
            </c:strRef>
          </c:tx>
          <c:spPr>
            <a:ln w="28575" cap="rnd">
              <a:solidFill>
                <a:srgbClr val="5B9BD5"/>
              </a:solidFill>
              <a:prstDash val="solid"/>
              <a:round/>
            </a:ln>
          </c:spPr>
          <c:marker>
            <c:symbol val="none"/>
          </c:marker>
          <c:cat>
            <c:numRef>
              <c:f>Sheet1!$A$30:$A$48</c:f>
              <c:numCache>
                <c:formatCode>General</c:formatCode>
                <c:ptCount val="1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</c:numCache>
            </c:numRef>
          </c:cat>
          <c:val>
            <c:numRef>
              <c:f>Sheet1!$B$30:$B$48</c:f>
              <c:numCache>
                <c:formatCode>General</c:formatCode>
                <c:ptCount val="19"/>
                <c:pt idx="0">
                  <c:v>2.9000000000000001E-2</c:v>
                </c:pt>
                <c:pt idx="1">
                  <c:v>2.8000000000000001E-2</c:v>
                </c:pt>
                <c:pt idx="2">
                  <c:v>2.7E-2</c:v>
                </c:pt>
                <c:pt idx="3">
                  <c:v>2.7E-2</c:v>
                </c:pt>
                <c:pt idx="4">
                  <c:v>0.03</c:v>
                </c:pt>
                <c:pt idx="5">
                  <c:v>0.03</c:v>
                </c:pt>
                <c:pt idx="6">
                  <c:v>2.7E-2</c:v>
                </c:pt>
                <c:pt idx="7">
                  <c:v>2.5999999999999999E-2</c:v>
                </c:pt>
                <c:pt idx="8">
                  <c:v>2.5000000000000001E-2</c:v>
                </c:pt>
                <c:pt idx="9">
                  <c:v>2.4E-2</c:v>
                </c:pt>
                <c:pt idx="10">
                  <c:v>2.5999999999999999E-2</c:v>
                </c:pt>
                <c:pt idx="11">
                  <c:v>2.7E-2</c:v>
                </c:pt>
                <c:pt idx="12">
                  <c:v>2.7E-2</c:v>
                </c:pt>
                <c:pt idx="13">
                  <c:v>2.8000000000000001E-2</c:v>
                </c:pt>
                <c:pt idx="14">
                  <c:v>2.9000000000000001E-2</c:v>
                </c:pt>
                <c:pt idx="15">
                  <c:v>2.9000000000000001E-2</c:v>
                </c:pt>
                <c:pt idx="16">
                  <c:v>0.03</c:v>
                </c:pt>
                <c:pt idx="17">
                  <c:v>3.1E-2</c:v>
                </c:pt>
                <c:pt idx="18">
                  <c:v>3.2000000000000001E-2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3959664"/>
        <c:axId val="873964560"/>
      </c:lineChart>
      <c:valAx>
        <c:axId val="87396456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73959664"/>
        <c:crosses val="autoZero"/>
        <c:crossBetween val="between"/>
      </c:valAx>
      <c:catAx>
        <c:axId val="87395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87396456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000" b="0" i="0" u="none" strike="noStrike" kern="1200" baseline="0">
          <a:solidFill>
            <a:srgbClr val="000000"/>
          </a:solidFill>
          <a:latin typeface="Calibri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7</cp:revision>
  <dcterms:created xsi:type="dcterms:W3CDTF">2015-10-11T16:03:00Z</dcterms:created>
  <dcterms:modified xsi:type="dcterms:W3CDTF">2015-10-13T03:54:00Z</dcterms:modified>
</cp:coreProperties>
</file>