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NanoOrch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7280"/>
          <w:sz w:val="32"/>
          <w:szCs w:val="32"/>
        </w:rPr>
        <w:t xml:space="preserve">Agent Platform</w:t>
      </w:r>
    </w:p>
    <w:p>
      <w:pPr>
        <w:spacing w:after="2880"/>
        <w:jc w:val="center"/>
      </w:pPr>
      <w:r>
        <w:rPr>
          <w:rFonts w:ascii="Calibri" w:cs="Calibri" w:eastAsia="Calibri" w:hAnsi="Calibri"/>
          <w:b/>
          <w:bCs/>
          <w:color w:val="374151"/>
          <w:sz w:val="36"/>
          <w:szCs w:val="36"/>
        </w:rPr>
        <w:t xml:space="preserve">User Manual</w:t>
      </w:r>
    </w:p>
    <w:p>
      <w:pPr>
        <w:spacing w:after="40" w:before="80"/>
        <w:jc w:val="left"/>
      </w:pPr>
      <w:r>
        <w:drawing>
          <wp:inline distT="0" distB="0" distL="0" distR="0">
            <wp:extent cx="3238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NanoOrch login screen</w:t>
      </w:r>
    </w:p>
    <w:p>
      <w:pPr>
        <w:pStyle w:val="Heading1"/>
        <w:spacing w:after="120" w:before="360"/>
      </w:pPr>
      <w:r>
        <w:t xml:space="preserve">1. Introduction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Welcome to NanoOrch — a self-hosted AI agent orchestration platform. This manual is written for everyday users. No technical background is required.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NanoOrch lets you talk to AI agents from a web browser or from Slack/Teams. Depending on how your administrator has configured the system, agents can answer questions, search documents, run calculations, manage Jira issues, query cloud infrastructure, and much more.</w:t>
      </w:r>
    </w:p>
    <w:p>
      <w:pPr>
        <w:pStyle w:val="Heading1"/>
        <w:spacing w:after="120" w:before="360"/>
      </w:pPr>
      <w:r>
        <w:t xml:space="preserve">2. Logging In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Go to the URL your administrator gave you (e.g. http://your-company-nanoorch.com) and sign in with your username and password.</w:t>
      </w:r>
    </w:p>
    <w:p>
      <w:pPr>
        <w:spacing w:after="40" w:before="80"/>
        <w:jc w:val="left"/>
      </w:pPr>
      <w:r>
        <w:drawing>
          <wp:inline distT="0" distB="0" distL="0" distR="0">
            <wp:extent cx="3619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Sign-in screen — enter your username and password and click Sign In</w:t>
      </w:r>
    </w:p>
    <w:p>
      <w:pPr>
        <w:spacing w:after="120" w:before="80"/>
        <w:ind w:left="360"/>
      </w:pPr>
      <w:r>
        <w:rPr>
          <w:b/>
          <w:bCs/>
          <w:color w:val="1A56DB"/>
          <w:sz w:val="22"/>
          <w:szCs w:val="22"/>
        </w:rPr>
        <w:t xml:space="preserve">ℹ  </w:t>
      </w:r>
      <w:r>
        <w:rPr>
          <w:i/>
          <w:iCs/>
          <w:color w:val="444444"/>
          <w:sz w:val="20"/>
          <w:szCs w:val="20"/>
        </w:rPr>
        <w:t xml:space="preserve">If you have not received credentials, contact your administrator. There is no self-service sign-up or password reset.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After login you will be taken to your workspace list. Global admins and workspace admins see the full admin UI; regular members see a clean chat-only interface.</w:t>
      </w:r>
    </w:p>
    <w:p>
      <w:pPr>
        <w:pStyle w:val="Heading1"/>
        <w:spacing w:after="120" w:before="360"/>
      </w:pPr>
      <w:r>
        <w:t xml:space="preserve">3. Your Workspace List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workspace is an isolated environment for a team or project. Everything — agents, tasks, integrations, schedules — lives inside a workspace. You can only see workspaces your administrator has added you to.</w:t>
      </w:r>
    </w:p>
    <w:p>
      <w:pPr>
        <w:spacing w:after="40" w:before="80"/>
        <w:jc w:val="left"/>
      </w:pPr>
      <w:r>
        <w:drawing>
          <wp:inline distT="0" distB="0" distL="0" distR="0">
            <wp:extent cx="5334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Workspace list — the Comms badge shows this workspace has two-way Slack/Teams enabled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Click Open Workspace to enter. If a workspace you expect is missing, ask your administrator to add you.</w:t>
      </w:r>
    </w:p>
    <w:p>
      <w:pPr>
        <w:spacing w:after="120" w:before="80"/>
        <w:ind w:left="360"/>
      </w:pPr>
      <w:r>
        <w:rPr>
          <w:b/>
          <w:bCs/>
          <w:color w:val="1A56DB"/>
          <w:sz w:val="22"/>
          <w:szCs w:val="22"/>
        </w:rPr>
        <w:t xml:space="preserve">ℹ  </w:t>
      </w:r>
      <w:r>
        <w:rPr>
          <w:i/>
          <w:iCs/>
          <w:color w:val="444444"/>
          <w:sz w:val="20"/>
          <w:szCs w:val="20"/>
        </w:rPr>
        <w:t xml:space="preserve">A workspace marked with a Comms badge supports two-way messaging — you can interact with agents directly from Slack or Microsoft Teams.</w:t>
      </w:r>
    </w:p>
    <w:p>
      <w:pPr>
        <w:pStyle w:val="Heading1"/>
        <w:spacing w:after="120" w:before="360"/>
      </w:pPr>
      <w:r>
        <w:t xml:space="preserve">4. The Chat Interface</w:t>
      </w:r>
    </w:p>
    <w:p>
      <w:pPr>
        <w:spacing w:after="40" w:before="80"/>
        <w:jc w:val="left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Chat interface — sidebar lists conversations; type @agent-name to address an agent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Once you open a workspace, the chat interface loads. Previous conversations are listed in the left sidebar. Start a new conversation with the + New Chat button at the top.</w:t>
      </w:r>
    </w:p>
    <w:p>
      <w:pPr>
        <w:pStyle w:val="Heading2"/>
        <w:spacing w:after="100" w:before="280"/>
      </w:pPr>
      <w:r>
        <w:t xml:space="preserve">Addressing an agent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Type @ followed by the agent name. A dropdown appears with matching agents: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↑ and ↓ arrow keys to navigate the 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Press Enter or Tab to select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Press Escape to close the dropdown without selecting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@poc-agent what is the status of our latest deployment?</w:t>
      </w:r>
    </w:p>
    <w:p>
      <w:pPr>
        <w:spacing w:after="120" w:before="80"/>
        <w:ind w:left="360"/>
      </w:pPr>
      <w:r>
        <w:rPr>
          <w:b/>
          <w:bCs/>
          <w:color w:val="1A56DB"/>
          <w:sz w:val="22"/>
          <w:szCs w:val="22"/>
        </w:rPr>
        <w:t xml:space="preserve">ℹ  </w:t>
      </w:r>
      <w:r>
        <w:rPr>
          <w:i/>
          <w:iCs/>
          <w:color w:val="444444"/>
          <w:sz w:val="20"/>
          <w:szCs w:val="20"/>
        </w:rPr>
        <w:t xml:space="preserve">Always start your message with @agent-name. Without it, the platform does not know which agent to route your message to.</w:t>
      </w:r>
    </w:p>
    <w:p>
      <w:pPr>
        <w:pStyle w:val="Heading2"/>
        <w:spacing w:after="100" w:before="280"/>
      </w:pPr>
      <w:r>
        <w:t xml:space="preserve">Conversation history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Your previous conversations appear in the left sidebar. Click any conversation to continue it. The agent remembers the context of each individual conversation — ask follow-up questions naturally without repeating yourself.</w:t>
      </w:r>
    </w:p>
    <w:p>
      <w:pPr>
        <w:pStyle w:val="Heading1"/>
        <w:spacing w:after="120" w:before="360"/>
      </w:pPr>
      <w:r>
        <w:t xml:space="preserve">5. Types of Responses</w:t>
      </w:r>
    </w:p>
    <w:p>
      <w:pPr>
        <w:pStyle w:val="Heading2"/>
        <w:spacing w:after="100" w:before="280"/>
      </w:pPr>
      <w:r>
        <w:t xml:space="preserve">Conversational answer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 questions, explanations, and summaries the agent replies directly in the chat. Text streams in word by word as it is generated.</w:t>
      </w:r>
    </w:p>
    <w:p>
      <w:pPr>
        <w:pStyle w:val="Heading2"/>
        <w:spacing w:after="100" w:before="280"/>
      </w:pPr>
      <w:r>
        <w:t xml:space="preserve">Code execution</w:t>
      </w:r>
    </w:p>
    <w:p>
      <w:pPr>
        <w:spacing w:after="40" w:before="80"/>
        <w:jc w:val="left"/>
      </w:pPr>
      <w:r>
        <w:drawing>
          <wp:inline distT="0" distB="0" distL="0" distR="0">
            <wp:extent cx="4572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"running python in sandbox…" — the agent is executing code in the secure sandbox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If your question requires computation, the agent writes a program and runs it inside a locked-down container. You will see a "&lt;/&gt; running … in sandbox…" indicator while it executes. The result streams back when the container finishes.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sandbox supports Python and Node.js (JavaScript). It has no internet access, no access to your files, and nothing persists after the run.</w:t>
      </w:r>
    </w:p>
    <w:p>
      <w:pPr>
        <w:pStyle w:val="Heading2"/>
        <w:spacing w:after="100" w:before="280"/>
      </w:pPr>
      <w:r>
        <w:t xml:space="preserve">Action response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If your request requires fetching live data or performing an operation (Jira, GitHub, GitLab, AWS, GCP, Azure), the agent calls the relevant service and returns the real result.</w:t>
      </w:r>
    </w:p>
    <w:p>
      <w:pPr>
        <w:pStyle w:val="Heading1"/>
        <w:spacing w:after="120" w:before="360"/>
      </w:pPr>
      <w:r>
        <w:t xml:space="preserve">6. Approving Actions</w:t>
      </w:r>
    </w:p>
    <w:p>
      <w:pPr>
        <w:spacing w:after="40" w:before="80"/>
        <w:jc w:val="left"/>
      </w:pPr>
      <w:r>
        <w:drawing>
          <wp:inline distT="0" distB="0" distL="0" distR="0">
            <wp:extent cx="5334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Approval gate — shows the proposed action, tool name, read-only badge, and Approve &amp; Run / Cancel buttons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When an agent wants to call a cloud or developer tool it pauses and shows a confirmation card. The card includes: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description of what the agent wants to 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PREDICTED OPERATIONS panel showing the exact tool call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read-only or write badge — green "read-only" for safe listing operations, amber/red for write operations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Approve &amp; Run — confirms the action; it runs immediately in an isolated environment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Cancel — nothing happens; you can rephrase or ask something different</w:t>
      </w:r>
    </w:p>
    <w:p>
      <w:pPr>
        <w:spacing w:after="120" w:before="80"/>
        <w:ind w:left="360"/>
      </w:pPr>
      <w:r>
        <w:rPr>
          <w:b/>
          <w:bCs/>
          <w:color w:val="1A56DB"/>
          <w:sz w:val="22"/>
          <w:szCs w:val="22"/>
        </w:rPr>
        <w:t xml:space="preserve">ℹ  </w:t>
      </w:r>
      <w:r>
        <w:rPr>
          <w:i/>
          <w:iCs/>
          <w:color w:val="444444"/>
          <w:sz w:val="20"/>
          <w:szCs w:val="20"/>
        </w:rPr>
        <w:t xml:space="preserve">Read-only operations (listing resources, searching issues) are safe to approve freely. Write operations (creating, updating, deleting resources) have real effects — review carefully before approving.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Workspace admins can also review pending approvals in the Approvals section of the sidebar, where a badge shows how many are waiting.</w:t>
      </w:r>
    </w:p>
    <w:p>
      <w:pPr>
        <w:pStyle w:val="Heading1"/>
        <w:spacing w:after="120" w:before="360"/>
      </w:pPr>
      <w:r>
        <w:t xml:space="preserve">7. The Tasks View</w:t>
      </w:r>
    </w:p>
    <w:p>
      <w:pPr>
        <w:spacing w:after="40" w:before="80"/>
        <w:jc w:val="left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Tasks view — counter cards at the top, scrollable task list below with status badges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message you send that triggers an agent creates a task. The Tasks view (visible to workspace admins and global admins) shows: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Summary counters: Pending, Running, Completed, Failed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scrollable list of tasks with their status badge, agent name, and relative timestamp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Click any task to open its detail view, which shows the full input, output, step-by-step agent reasoning, tool calls, and a real-time log stream while the task is running.</w:t>
      </w:r>
    </w:p>
    <w:p>
      <w:pPr>
        <w:pStyle w:val="Heading1"/>
        <w:spacing w:after="120" w:before="360"/>
      </w:pPr>
      <w:r>
        <w:t xml:space="preserve">8. What Agents Can Do</w:t>
      </w:r>
    </w:p>
    <w:p>
      <w:pPr>
        <w:spacing w:after="40" w:before="80"/>
        <w:jc w:val="left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Agent tool panel — AWS and Jira tools selectable via checkboxes, grouped by integration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Depending on which integrations your administrator has configured, agents can:</w:t>
      </w:r>
    </w:p>
    <w:p>
      <w:pPr>
        <w:pStyle w:val="Heading2"/>
        <w:spacing w:after="100" w:before="280"/>
      </w:pPr>
      <w:r>
        <w:t xml:space="preserve">Cloud infrastructure (AWS, GCP, Azure)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@infra-bot list all running EC2 instances in us-east-1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@infra-bot how many S3 buckets do we have?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@infra-bot show me the last 50 CloudWatch error logs</w:t>
      </w:r>
    </w:p>
    <w:p>
      <w:pPr>
        <w:pStyle w:val="Heading2"/>
        <w:spacing w:after="100" w:before="280"/>
      </w:pPr>
      <w:r>
        <w:t xml:space="preserve">Jira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@jira-bot show all open P1 bugs in project CORE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@jira-bot create a bug: "Payment timeout on checkout" — priority High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@jira-bot list all active sprints on the engineering board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@jira-bot add a comment to INFRA-77: "Confirmed — investigating"</w:t>
      </w:r>
    </w:p>
    <w:p>
      <w:pPr>
        <w:pStyle w:val="Heading2"/>
        <w:spacing w:after="100" w:before="280"/>
      </w:pPr>
      <w:r>
        <w:t xml:space="preserve">GitHub / GitLab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@devbot list all open PRs in the backend repo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@devbot create an issue: "Fix login redirect loop" in my-org/backend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@devbot list all failed pipelines on the release branch</w:t>
      </w:r>
    </w:p>
    <w:p>
      <w:pPr>
        <w:pStyle w:val="Heading2"/>
        <w:spacing w:after="100" w:before="280"/>
      </w:pPr>
      <w:r>
        <w:t xml:space="preserve">Code execution (Python and Node.js)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@agent write a Python script to calculate compound interest on $50,000 at 4.5% for 10 years and run it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@agent write and run a Node.js script that generates 10 random UUIDs using crypto.randomUUID()</w:t>
      </w:r>
    </w:p>
    <w:p>
      <w:pPr>
        <w:pStyle w:val="Heading1"/>
        <w:spacing w:after="120" w:before="360"/>
      </w:pPr>
      <w:r>
        <w:t xml:space="preserve">9. Integrations</w:t>
      </w:r>
    </w:p>
    <w:p>
      <w:pPr>
        <w:spacing w:after="40" w:before="80"/>
        <w:jc w:val="left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Integrations page — grouped by CLOUD, DEVTOOLS, and KNOWLEDGE with Test/Edit/Disable controls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Integrations connect NanoOrch to external services. They are grouped into three categories: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shd w:fill="E8F0FE" w:color="E8F0FE" w:val="solid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pct" w:w="50%"/>
            <w:shd w:fill="E8F0FE" w:color="E8F0FE" w:val="solid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  <w:vAlign w:val="center"/>
          </w:tcPr>
          <w:p>
            <w:r>
              <w:rPr>
                <w:sz w:val="20"/>
                <w:szCs w:val="20"/>
              </w:rPr>
              <w:t xml:space="preserve">CLOUD</w:t>
            </w:r>
          </w:p>
        </w:tc>
        <w:tc>
          <w:tcPr>
            <w:tcW w:type="pct" w:w="50%"/>
            <w:vAlign w:val="center"/>
          </w:tcPr>
          <w:p>
            <w:r>
              <w:rPr>
                <w:sz w:val="20"/>
                <w:szCs w:val="20"/>
              </w:rPr>
              <w:t xml:space="preserve">AWS, GCP, Azure — infrastructure tools (list resources, fetch logs)</w:t>
            </w:r>
          </w:p>
        </w:tc>
      </w:tr>
      <w:tr>
        <w:tc>
          <w:tcPr>
            <w:tcW w:type="pct" w:w="50%"/>
            <w:vAlign w:val="center"/>
          </w:tcPr>
          <w:p>
            <w:r>
              <w:rPr>
                <w:sz w:val="20"/>
                <w:szCs w:val="20"/>
              </w:rPr>
              <w:t xml:space="preserve">DEVTOOLS</w:t>
            </w:r>
          </w:p>
        </w:tc>
        <w:tc>
          <w:tcPr>
            <w:tcW w:type="pct" w:w="50%"/>
            <w:vAlign w:val="center"/>
          </w:tcPr>
          <w:p>
            <w:r>
              <w:rPr>
                <w:sz w:val="20"/>
                <w:szCs w:val="20"/>
              </w:rPr>
              <w:t xml:space="preserve">Jira, GitHub, GitLab — issue tracking, code repositories, CI/CD</w:t>
            </w:r>
          </w:p>
        </w:tc>
      </w:tr>
      <w:tr>
        <w:tc>
          <w:tcPr>
            <w:tcW w:type="pct" w:w="50%"/>
            <w:vAlign w:val="center"/>
          </w:tcPr>
          <w:p>
            <w:r>
              <w:rPr>
                <w:sz w:val="20"/>
                <w:szCs w:val="20"/>
              </w:rPr>
              <w:t xml:space="preserve">KNOWLEDGE</w:t>
            </w:r>
          </w:p>
        </w:tc>
        <w:tc>
          <w:tcPr>
            <w:tcW w:type="pct" w:w="50%"/>
            <w:vAlign w:val="center"/>
          </w:tcPr>
          <w:p>
            <w:r>
              <w:rPr>
                <w:sz w:val="20"/>
                <w:szCs w:val="20"/>
              </w:rPr>
              <w:t xml:space="preserve">RAGFlow — knowledge base for automatic document retrieval (Context mode)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integration card shows the provider type, last-used timestamp, and integration mode badge (Tool or Context). Use the Test button to verify connectivity without running a real task.</w:t>
      </w:r>
    </w:p>
    <w:p>
      <w:pPr>
        <w:pStyle w:val="Heading1"/>
        <w:spacing w:after="120" w:before="360"/>
      </w:pPr>
      <w:r>
        <w:t xml:space="preserve">10. Knowledge Base (RAGFlow)</w:t>
      </w:r>
    </w:p>
    <w:p>
      <w:pPr>
        <w:spacing w:after="40" w:before="80"/>
        <w:jc w:val="left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Agent answering a question using the RAGFlow knowledge base — 26 sources retrieved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If your administrator has connected a RAGFlow knowledge base, the agent automatically searches it before every response. You do not need to ask it to.</w:t>
      </w:r>
    </w:p>
    <w:p>
      <w:pPr>
        <w:spacing w:after="40" w:before="80"/>
        <w:jc w:val="left"/>
      </w:pPr>
      <w:r>
        <w:drawing>
          <wp:inline distT="0" distB="0" distL="0" distR="0">
            <wp:extent cx="3810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Expanded sources panel — document titles and excerpts used to form the answer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Sources badge below the agent reply shows how many document chunks were retrieved (e.g. "26 sources"). Click it to expand and read each source excerpt. This lets you: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Verify that the answer is grounded in real documents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See which documents were referenced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 the original document if you need the full context</w:t>
      </w:r>
    </w:p>
    <w:p>
      <w:pPr>
        <w:spacing w:after="120" w:before="80"/>
        <w:ind w:left="360"/>
      </w:pPr>
      <w:r>
        <w:rPr>
          <w:b/>
          <w:bCs/>
          <w:color w:val="1A56DB"/>
          <w:sz w:val="22"/>
          <w:szCs w:val="22"/>
        </w:rPr>
        <w:t xml:space="preserve">ℹ  </w:t>
      </w:r>
      <w:r>
        <w:rPr>
          <w:i/>
          <w:iCs/>
          <w:color w:val="444444"/>
          <w:sz w:val="20"/>
          <w:szCs w:val="20"/>
        </w:rPr>
        <w:t xml:space="preserve">The number of sources shown (e.g. 26) reflects the number of document chunks retrieved. Multiple chunks may come from the same document.</w:t>
      </w:r>
    </w:p>
    <w:p>
      <w:pPr>
        <w:pStyle w:val="Heading1"/>
        <w:spacing w:after="120" w:before="360"/>
      </w:pPr>
      <w:r>
        <w:t xml:space="preserve">11. Observability Dashboard</w:t>
      </w:r>
    </w:p>
    <w:p>
      <w:pPr>
        <w:spacing w:after="40" w:before="80"/>
        <w:jc w:val="left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Observability — four summary cards and a daily token usage line chart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Workspace admins can view token usage and estimated costs in the Observability section of the sidebar.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four summary cards at the top show: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shd w:fill="E8F0FE" w:color="E8F0FE" w:val="solid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pct" w:w="50%"/>
            <w:shd w:fill="E8F0FE" w:color="E8F0FE" w:val="solid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  <w:vAlign w:val="center"/>
          </w:tcPr>
          <w:p>
            <w:r>
              <w:rPr>
                <w:sz w:val="20"/>
                <w:szCs w:val="20"/>
              </w:rPr>
              <w:t xml:space="preserve">Total Tokens</w:t>
            </w:r>
          </w:p>
        </w:tc>
        <w:tc>
          <w:tcPr>
            <w:tcW w:type="pct" w:w="50%"/>
            <w:vAlign w:val="center"/>
          </w:tcPr>
          <w:p>
            <w:r>
              <w:rPr>
                <w:sz w:val="20"/>
                <w:szCs w:val="20"/>
              </w:rPr>
              <w:t xml:space="preserve">Combined input + output tokens for the selected period (e.g. 220.7K = 216.9K in + 3.8K out)</w:t>
            </w:r>
          </w:p>
        </w:tc>
      </w:tr>
      <w:tr>
        <w:tc>
          <w:tcPr>
            <w:tcW w:type="pct" w:w="50%"/>
            <w:vAlign w:val="center"/>
          </w:tcPr>
          <w:p>
            <w:r>
              <w:rPr>
                <w:sz w:val="20"/>
                <w:szCs w:val="20"/>
              </w:rPr>
              <w:t xml:space="preserve">Est. Cost</w:t>
            </w:r>
          </w:p>
        </w:tc>
        <w:tc>
          <w:tcPr>
            <w:tcW w:type="pct" w:w="50%"/>
            <w:vAlign w:val="center"/>
          </w:tcPr>
          <w:p>
            <w:r>
              <w:rPr>
                <w:sz w:val="20"/>
                <w:szCs w:val="20"/>
              </w:rPr>
              <w:t xml:space="preserve">Estimated USD cost based on per-token pricing for the period (e.g. $0.5804 for 30 days)</w:t>
            </w:r>
          </w:p>
        </w:tc>
      </w:tr>
      <w:tr>
        <w:tc>
          <w:tcPr>
            <w:tcW w:type="pct" w:w="50%"/>
            <w:vAlign w:val="center"/>
          </w:tcPr>
          <w:p>
            <w:r>
              <w:rPr>
                <w:sz w:val="20"/>
                <w:szCs w:val="20"/>
              </w:rPr>
              <w:t xml:space="preserve">Agent Calls</w:t>
            </w:r>
          </w:p>
        </w:tc>
        <w:tc>
          <w:tcPr>
            <w:tcW w:type="pct" w:w="50%"/>
            <w:vAlign w:val="center"/>
          </w:tcPr>
          <w:p>
            <w:r>
              <w:rPr>
                <w:sz w:val="20"/>
                <w:szCs w:val="20"/>
              </w:rPr>
              <w:t xml:space="preserve">Number of task invocations that used tokens (e.g. 25)</w:t>
            </w:r>
          </w:p>
        </w:tc>
      </w:tr>
      <w:tr>
        <w:tc>
          <w:tcPr>
            <w:tcW w:type="pct" w:w="50%"/>
            <w:vAlign w:val="center"/>
          </w:tcPr>
          <w:p>
            <w:r>
              <w:rPr>
                <w:sz w:val="20"/>
                <w:szCs w:val="20"/>
              </w:rPr>
              <w:t xml:space="preserve">Active Agents</w:t>
            </w:r>
          </w:p>
        </w:tc>
        <w:tc>
          <w:tcPr>
            <w:tcW w:type="pct" w:w="50%"/>
            <w:vAlign w:val="center"/>
          </w:tcPr>
          <w:p>
            <w:r>
              <w:rPr>
                <w:sz w:val="20"/>
                <w:szCs w:val="20"/>
              </w:rPr>
              <w:t xml:space="preserve">Number of distinct agents with at least one token record (e.g. 2)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Daily Token Usage chart shows input and output token consumption day by day. Use the period selector (top right) to change the window (e.g. Last 7 days, Last 30 days).</w:t>
      </w:r>
    </w:p>
    <w:p>
      <w:pPr>
        <w:pStyle w:val="Heading1"/>
        <w:spacing w:after="120" w:before="360"/>
      </w:pPr>
      <w:r>
        <w:t xml:space="preserve">12. Scheduled Jobs</w:t>
      </w:r>
    </w:p>
    <w:p>
      <w:pPr>
        <w:spacing w:after="40" w:before="80"/>
        <w:jc w:val="left"/>
      </w:pPr>
      <w:r>
        <w:drawing>
          <wp:inline distT="0" distB="0" distL="0" distR="0">
            <wp:extent cx="53340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Scheduled Jobs — JIRA Summary job with Active badge, cron expression, and next/last-run timestamps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Scheduled jobs run agents automatically on a repeating cron schedule. As a user, you will receive the results of scheduled jobs as chat messages or Slack/Teams notifications — you do not need to do anything.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job card shows: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Job name and Active / Paused badge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orchestrator and agent that runs the job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prompt sent to the agent on each run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Cron expression and timezone (e.g. */5 * * * * · Asia/Kolkata = every 5 minutes)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Next scheduled run time and last run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 task link — click to open the most recent task log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Administrators can pause, resume, run immediately (Run Now), edit, or delete any job.</w:t>
      </w:r>
    </w:p>
    <w:p>
      <w:pPr>
        <w:pStyle w:val="Heading1"/>
        <w:spacing w:after="120" w:before="360"/>
      </w:pPr>
      <w:r>
        <w:t xml:space="preserve">13. Pipelines</w:t>
      </w:r>
    </w:p>
    <w:p>
      <w:pPr>
        <w:spacing w:after="40" w:before="80"/>
        <w:jc w:val="left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Pipelines — JIRA Test pipeline with run history showing completed runs and timestamps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pipeline chains several agents together — the output of each step is passed automatically as context to the next. For example: one agent fetches Jira data → a second summarises it → a third creates a ticket.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As a user, you will not normally interact with pipelines directly. If you want a multi-step automated workflow, ask your administrator to set one up.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pipeline card shows: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Pipeline name and Active badge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 run timestamp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History — a collapsible list of completed runs with status, trigger (Manual / Scheduled), and timestamp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Now button to trigger the pipeline manually</w:t>
      </w:r>
    </w:p>
    <w:p>
      <w:pPr>
        <w:pStyle w:val="Heading1"/>
        <w:spacing w:after="120" w:before="360"/>
      </w:pPr>
      <w:r>
        <w:t xml:space="preserve">14. Using Agents via Slack or Teams</w:t>
      </w:r>
    </w:p>
    <w:p>
      <w:pPr>
        <w:spacing w:after="40" w:before="80"/>
        <w:jc w:val="left"/>
      </w:pPr>
      <w:r>
        <w:drawing>
          <wp:inline distT="0" distB="0" distL="0" distR="0">
            <wp:extent cx="53340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Channels page — Slack inbound channel with Two-way and Active badges, Events Endpoint URL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If your workspace is a Comms Workspace (look for the Comms badge on the workspace card), you can talk to NanoOrch agents directly from Slack or Microsoft Teams.</w:t>
      </w:r>
    </w:p>
    <w:p>
      <w:pPr>
        <w:pStyle w:val="Heading2"/>
        <w:spacing w:after="100" w:before="280"/>
      </w:pPr>
      <w:r>
        <w:t xml:space="preserve">Slack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Mention the bot in any channel it has been invited to: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@NanoOrchBot what is the status of our deployment?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agent will process your message and reply in the same thread, usually within a few seconds.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 address a specific agent, prefix your message with use agent-name: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@NanoOrchBot use devops-agent: check CloudWatch for any errors in the last hour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Without that prefix, your message goes to the default agent configured by your administrator. Direct messages (DMs) to the bot work the same way.</w:t>
      </w:r>
    </w:p>
    <w:p>
      <w:pPr>
        <w:pStyle w:val="Heading2"/>
        <w:spacing w:after="100" w:before="280"/>
      </w:pPr>
      <w:r>
        <w:t xml:space="preserve">Microsoft Teams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Send a message to the Teams channel where the bot is installed: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devops-agent: check CloudWatch for errors in the last hour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Or just type your prompt directly — the default agent will reply.</w:t>
      </w:r>
    </w:p>
    <w:p>
      <w:pPr>
        <w:pStyle w:val="Heading2"/>
        <w:spacing w:after="100" w:before="280"/>
      </w:pPr>
      <w:r>
        <w:t xml:space="preserve">What agents can do from Slack / Teams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Everything they can do from the web chat — run code, query Jira, search GitHub, call AWS/GCP/Azure tools, retrieve from RAGFlow knowledge bases, and more. If an action requires approval, the agent will tell you in the reply; your administrator can approve it from the NanoOrch web UI.</w:t>
      </w:r>
    </w:p>
    <w:p>
      <w:pPr>
        <w:pStyle w:val="Heading2"/>
        <w:spacing w:after="100" w:before="280"/>
      </w:pPr>
      <w:r>
        <w:t xml:space="preserve">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message = one task. Long-running tasks may take a minute or two before you see a reply.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Context is shared within the same Slack thread or Teams conversation. Starting a new thread starts a fresh conversation.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agent sends text replies only — no file attachments.</w:t>
      </w:r>
    </w:p>
    <w:p>
      <w:pPr>
        <w:pStyle w:val="Heading1"/>
        <w:spacing w:after="120" w:before="360"/>
      </w:pPr>
      <w:r>
        <w:t xml:space="preserve">15. Tips for Better Results</w:t>
      </w:r>
    </w:p>
    <w:p>
      <w:pPr>
        <w:pStyle w:val="Heading2"/>
        <w:spacing w:after="100" w:before="280"/>
      </w:pPr>
      <w:r>
        <w:t xml:space="preserve">Be specific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more context you give, the better the response.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Less specific:  @jira-bot show issues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More specific:  @jira-bot show all open P1 and P2 bugs in project CORE assigned to the backend team</w:t>
      </w:r>
    </w:p>
    <w:p>
      <w:pPr>
        <w:pStyle w:val="Heading2"/>
        <w:spacing w:after="100" w:before="280"/>
      </w:pPr>
      <w:r>
        <w:t xml:space="preserve">Address the right agent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Use specialist agents for best results — one for cloud infrastructure, one for Jira, one for knowledge base search.</w:t>
      </w:r>
    </w:p>
    <w:p>
      <w:pPr>
        <w:pStyle w:val="Heading2"/>
        <w:spacing w:after="100" w:before="280"/>
      </w:pPr>
      <w:r>
        <w:t xml:space="preserve">Ask follow-up questions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Context is remembered within the current conversation: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@jira-bot list my open issues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@jira-bot which of those are P1?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@jira-bot add a comment to the first one: "Investigating now"</w:t>
      </w:r>
    </w:p>
    <w:p>
      <w:pPr>
        <w:pStyle w:val="Heading2"/>
        <w:spacing w:after="100" w:before="280"/>
      </w:pPr>
      <w:r>
        <w:t xml:space="preserve">Paste data inline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If you have JSON, CSV, or numbers you want the agent to process, paste them directly into your message.</w:t>
      </w:r>
    </w:p>
    <w:p>
      <w:pPr>
        <w:pStyle w:val="Heading2"/>
        <w:spacing w:after="100" w:before="280"/>
      </w:pPr>
      <w:r>
        <w:t xml:space="preserve">If the response is cut off</w:t>
      </w:r>
    </w:p>
    <w:p>
      <w:pPr>
        <w:shd w:fill="F0F0F0" w:color="F0F0F0" w:val="solid"/>
        <w:spacing w:after="80" w:before="8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@agent continue</w:t>
      </w:r>
    </w:p>
    <w:p>
      <w:pPr>
        <w:pStyle w:val="Heading1"/>
        <w:spacing w:after="120" w:before="360"/>
      </w:pPr>
      <w:r>
        <w:t xml:space="preserve">16. Troubleshooting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The agent is not responding / spinner keeps going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Wait up to 30 seconds — API calls to Jira, GitHub, or cloud services take longer than conversational answers.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it has been more than a minute, refresh the page and resend your message.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"No agents available" in the dropdown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Your workspace has no agents configured. Ask your administrator to create one.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The agent says it cannot run code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sandbox Docker image may not have been built on the server. Ask your administrator.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The agent paused and is waiting for approval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workspace admin must approve the action in the Approvals sidebar section. If you are a workspace admin, open Approvals now. Otherwise, let your administrator know.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The action ran but something went wrong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the task that was created and check the detailed log. Share the task ID with your administrator.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I cannot see a workspace I should have access 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 your administrator to add you to that workspace from the Members section.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I forgot my password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 your administrator to reset it. There is no self-service password reset.</w:t>
      </w:r>
    </w:p>
    <w:p>
      <w:pPr>
        <w:pStyle w:val="Heading1"/>
        <w:spacing w:after="120" w:before="360"/>
      </w:pPr>
      <w:r>
        <w:t xml:space="preserve">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56DB" w:color="1A56DB" w:val="solid"/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shd w:fill="1A56DB" w:color="1A56DB" w:val="solid"/>
          </w:tcPr>
          <w:p>
            <w:r>
              <w:rPr>
                <w:b/>
                <w:bCs/>
                <w:sz w:val="20"/>
                <w:szCs w:val="20"/>
              </w:rPr>
              <w:t xml:space="preserve">How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Talk to an agent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@agent-name your message → press Enter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Pick agent from dropdown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Type @, use ↑↓ arrows, press Enter or Tab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Cancel agent selection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Press Escape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Approve a pending action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Click Approve &amp; Run on the confirmation card (or via Approvals in sidebar for admins)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See document sources (RAGFlow)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Click Sources badge below the agent reply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Ask a follow-up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Keep typing — context is remembered per conversation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Route to specific agent (Slack)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@NanoOrchBot use agent-name: your prompt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Run code from chat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Ask naturally — e.g. "@agent what is the SHA-256 of hello world?"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Switch workspace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Go to home screen (top-left logo or /member)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View task log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Click any task in the Tasks view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after="120" w:before="360"/>
    </w:pPr>
    <w:rPr>
      <w:rFonts w:ascii="Calibri" w:cs="Calibri" w:eastAsia="Calibri" w:hAnsi="Calibri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pPr>
      <w:keepNext/>
      <w:spacing w:after="100" w:before="280"/>
    </w:pPr>
    <w:rPr>
      <w:rFonts w:ascii="Calibri" w:cs="Calibri" w:eastAsia="Calibri" w:hAnsi="Calibr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pPr>
      <w:keepNext/>
      <w:spacing w:after="80" w:before="200"/>
    </w:pPr>
    <w:rPr>
      <w:rFonts w:ascii="Calibri" w:cs="Calibri" w:eastAsia="Calibri" w:hAnsi="Calibri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6a87802396076e8ce610bd1b1bb94ee6d4b6af.png"/><Relationship Id="rId8" Type="http://schemas.openxmlformats.org/officeDocument/2006/relationships/image" Target="media/431ab9a6eacd5019d3b61ff97f03dda130f72fed.png"/><Relationship Id="rId9" Type="http://schemas.openxmlformats.org/officeDocument/2006/relationships/image" Target="media/9d43a24731133e939c105d9c81c674ece07aa4a2.png"/><Relationship Id="rId10" Type="http://schemas.openxmlformats.org/officeDocument/2006/relationships/image" Target="media/b7c4a9334b5a9c9b439278be749ed8eb2dc4b6d7.png"/><Relationship Id="rId11" Type="http://schemas.openxmlformats.org/officeDocument/2006/relationships/image" Target="media/685b5e00bd42f1a3516bf2436a230d2c586723c2.png"/><Relationship Id="rId12" Type="http://schemas.openxmlformats.org/officeDocument/2006/relationships/image" Target="media/d06a6c50fd4756f9b24d8c4b9c7989017aefa38e.png"/><Relationship Id="rId13" Type="http://schemas.openxmlformats.org/officeDocument/2006/relationships/image" Target="media/e6ff39b4de208e5f9c8bf458bdec1fd2298beb40.png"/><Relationship Id="rId14" Type="http://schemas.openxmlformats.org/officeDocument/2006/relationships/image" Target="media/7a80a0d7305ca0b29d16c576357c754b90a162d7.png"/><Relationship Id="rId15" Type="http://schemas.openxmlformats.org/officeDocument/2006/relationships/image" Target="media/becf50613cf1e5caba528c6dc86d52462f0a96d5.png"/><Relationship Id="rId16" Type="http://schemas.openxmlformats.org/officeDocument/2006/relationships/image" Target="media/1c453c3049726c0f0a6fba2feeabf4113d19e0df.png"/><Relationship Id="rId17" Type="http://schemas.openxmlformats.org/officeDocument/2006/relationships/image" Target="media/36a0f4f085dff6bc1df9aee16ad3f815ad04ba2e.png"/><Relationship Id="rId18" Type="http://schemas.openxmlformats.org/officeDocument/2006/relationships/image" Target="media/a44ee0d5d23eff7d9802f2b64724b34cb4a3cc3d.png"/><Relationship Id="rId19" Type="http://schemas.openxmlformats.org/officeDocument/2006/relationships/image" Target="media/3d6ce2dcf315e01c14a636722393a4b38212bee9.png"/><Relationship Id="rId20" Type="http://schemas.openxmlformats.org/officeDocument/2006/relationships/image" Target="media/29e3bda5d36cc7f386c298555ef10465f7a8a425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2026-03-18T13:05:59.477Z</dcterms:created>
  <dcterms:modified xsi:type="dcterms:W3CDTF">2026-03-18T13:05:59.477Z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