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B42BE" w14:textId="77777777" w:rsidR="00D154BB" w:rsidRPr="00D154BB" w:rsidRDefault="00D154BB" w:rsidP="00D154BB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numpy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np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datetime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datetime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154BB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_score_direction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(q_val, asset_name, asset_type, score_range_config, durations):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根据观点收益判断方向标签（阈值来自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SCORE_RANGE_CONFIG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票型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区间）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ranges = score_range_config.get(asset_name)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ranges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3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ranges: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lo_raw, hi_raw = ranges[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asset_type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"fixed_income"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利率变动转价格收益率：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Q = -duration × Δrate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；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duration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来自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bl_claude.py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算好的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durations dict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dur = durations.get(asset_name,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 = -dur * hi_raw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注意符号：利率上行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正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) →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价格下跌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负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hi = -dur * lo_raw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lo, hi = lo_raw, hi_raw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兜底阈值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lo, hi = (-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0.0005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0.0005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asset_type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"fixed_income"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(-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q_val &gt; hi: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"#e05252"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"▲"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q_val &lt; lo: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"#3dba7e"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"▼"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"#7a8caa"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"—"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154BB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_vote_bar_html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(vote_dict):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生成投票分布色块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total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(vote_dict.values())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colors = {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"#16a34a"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"#86efac"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"#d1d5db"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"#fca5a5"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"#dc2626"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labels = {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强烈谨慎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谨慎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乐观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强烈乐观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parts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tooltip_parts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score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(vote_dict.keys()):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cnt = vote_dict[score]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pct = cnt / total *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lastRenderedPageBreak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 = labels.get(score,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(score))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tooltip_parts.append(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label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score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):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cnt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parts.append(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f'&lt;span style="display:inline-block;width: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pct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%;height:10px;'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colors.get(score,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"#ccc"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;"&gt;&lt;/span&gt;'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combined_tooltip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 | 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.join(tooltip_parts)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f'&lt;div title="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combined_tooltip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 style="display:flex;width:140px;border-radius:2px;overflow:hidden;cursor:default"&gt;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.join(parts)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154BB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generate_report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(report_data: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output_dir: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"reports"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-&gt;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os.makedirs(output_dir, </w:t>
      </w:r>
      <w:r w:rsidRPr="00D154BB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exist_ok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meeting_date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"meeting_date"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hist_start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"hist_start"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hist_end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"hist_end"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names 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"names"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asset_config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"asset_config"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w_mkt 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"w_mkt"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Pi    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"Pi"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Q     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"Q"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mu_BL 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"mu_BL"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w_star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"w_star"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votes_config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"votes_config"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dynamic_constraints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"dynamic_constraints"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group_constraints  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"group_constraints"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fixed_income_band  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"fixed_income_band"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port_ret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"port_ret"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port_vol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"port_vol"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sharpe       = report_data[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"sharpe"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exp_ret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"exp_ret"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rf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"rf"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0.018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exp_port_ret   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"exp_port_ret"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port_ret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exp_port_vol   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"exp_port_vol"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port_vol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exp_port_sharpe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"exp_port_sharpe"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sharpe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max_drawdown   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"max_drawdown"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liquidity_config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"liquidity_config"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"name"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流动性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"weight"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0.06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建立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name -&gt; Q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映射（从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P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矩阵推导，无投票资产不在映射中）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"P"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view_q_map = {}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P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is not None and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(Q) &gt;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P_arr = np.array(P)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k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(Q)):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asset_idx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(np.argmax(P_arr[k]))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view_q_map[names[asset_idx]]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(Q[k])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name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(names):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&lt;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(Q):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view_q_map[name]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(Q[i])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──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生成配置结论摘要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bullish_assets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bearish_assets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neutral_assets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big_increase = []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相对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w_mkt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增加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≥50%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且绝对变动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≥1%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big_decrease = []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相对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w_mkt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减少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≥50%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且绝对变动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≥1%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score_range_config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"score_range_config"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durations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"durations"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report_config = report_data.get(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"report_config"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ACTION_THRESHOLD = report_config.get(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"action_threshold"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name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(names):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cfg = asset_config.get(name,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asset_type = cfg.get(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"asset_type"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"equity"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q_val = view_q_map.get(name,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direction, _, _ = _score_direction(q_val, name, asset_type, score_range_config, durations)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wm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(w_mkt[i])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ws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(w_star[i])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delta = ws - wm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bullish_assets.append(name)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bearish_assets.append(name)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neutral_assets.append(name)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wm &gt;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rel_change = delta / wm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rel_change &gt;= ACTION_THRESHOLD: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big_increase.append(name)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rel_change &lt;= -ACTION_THRESHOLD: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big_decrease.append(name)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组装摘要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—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每种方向各占一行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tag_lines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bullish_assets: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tag_lines.append(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f'&lt;span class="sum-tag sum-tag-bull" style="white-space:nowrap;font-size:12px"&gt;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&amp;nbsp;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"&amp;nbsp;·&amp;nbsp;"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.join(bullish_assets)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neutral_assets: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tag_lines.append(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f'&lt;span class="sum-tag sum-tag-neu" style="white-space:nowrap;font-size:12px"&gt;—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&amp;nbsp;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"&amp;nbsp;·&amp;nbsp;"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.join(neutral_assets)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bearish_assets: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tag_lines.append(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f'&lt;span class="sum-tag sum-tag-bear" style="white-space:nowrap;font-size:12px"&gt;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🔻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审慎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&amp;nbsp;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"&amp;nbsp;·&amp;nbsp;"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.join(bearish_assets)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tags_html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"&amp;nbsp;&amp;nbsp;"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.join(tag_lines)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增配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/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减配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tag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行（资产名可点击，跳转并高亮权重表格对应行）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>_clickable_assets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(asset_list, color):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links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asset_list: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rid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f"wrow-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n.replace(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'-'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).replace(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 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links.append(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f'&lt;a href="javascript:void(0)" onclick="highlightRow(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\'{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rid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}\'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)" 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f'style="color: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;text-decoration:underline dotted;cursor:pointer;font-size:13px"&gt;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&lt;/a&gt;'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"&amp;nbsp;·&amp;nbsp;"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.join(links)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增配行：每个资产做成一个带箭头的小卡片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154BB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_action_card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(asset_name, is_increase):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rid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f"wrow-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asset_name.replace(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'-'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).replace(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 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is_increase: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bg   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"rgba(224,82,82,0.12)"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border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"rgba(224,82,82,0.5)"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arrow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"▲"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增配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clr  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"#e05252"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glow 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"rgba(224,82,82,0.15)"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bg   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"rgba(61,186,126,0.12)"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border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"rgba(61,186,126,0.5)"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arrow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"▼"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减配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clr  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"#3dba7e"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glow   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"rgba(61,186,126,0.15)"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f'&lt;div onclick="highlightRow(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\'{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rid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}\'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)" style="cursor:pointer;display:inline-flex;align-items:center;gap:6px;'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bg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;border:1px solid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border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;border-radius:8px;padding:6px 12px;'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f'box-shadow:0 0 8px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glow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;transition:opacity .15s" 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f'onmouseover="this.style.opacity=.75" onmouseout="this.style.opacity=1"&gt;'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f'&lt;span style="font-size:15px;font-weight:800;color: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clr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arrow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f'&lt;span style="font-size:12px;font-weight:700;color: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clr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label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f'&lt;span style="width:1px;height:14px;background: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border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;margin:0 2px"&gt;&lt;/span&gt;'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f'&lt;span style="font-size:12px;color:#c8d8f0"&gt;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asset_name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f'&lt;/div&gt;'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action_cards = []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big_increase: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action_cards.append(_action_card(n,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big_decrease: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action_cards.append(_action_card(n,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action_cards: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cards_html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f'&lt;div style="display:flex;flex-wrap:wrap;gap:8px;align-items:center"&gt;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.join(action_cards)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hint_html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'&lt;div style="margin-top:6px;font-size:11px;color:#4a607c"&gt;↑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点击资产名可跳转至权重明细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action_html = cards_html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action_html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'&lt;span style="color:#5a7090;font-size:12px"&gt;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本期无显著增减配（变动幅度均在阈值以内）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summary_html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f'''&lt;div&gt;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style="display:flex;align-items:baseline;gap:8px;margin-bottom:8px"&gt;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&lt;div class="sum-label"&gt;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本期配置动作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style="font-size:10px;color:#4a607c"&gt;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（相对均衡权重变动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≥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(ACTION_THRESHOLD*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%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触发）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style="margin-bottom:14px"&gt;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action_html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style="height:1px;background:linear-gradient(90deg,#1e3254 60%,transparent);margin-bottom:10px"&gt;&lt;/div&gt;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class="sum-label" style="margin-bottom:6px"&gt;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本期观点方向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class="sum-banner" style="margin-bottom:0;display:flex;flex-wrap:nowrap;gap:6px;overflow-x:auto"&gt;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tags_html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&lt;/div&gt;'''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──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投委会观点表格行（紧凑版）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vote_rows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name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cfg = asset_config.get(name,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asset_type = cfg.get(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"asset_type"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"equity"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vote_dict = votes_config.get(name, {})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q_val = view_q_map.get(name,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direction, color, arrow = _score_direction(q_val, name, asset_type, score_range_config, durations)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not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vote_dict: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vote_rows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f'''&lt;tr&gt;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&lt;td class="an"&gt;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&lt;td style="color:#9ca3af;font-style:italic"&gt;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无投票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&lt;td style="color:#9ca3af"&gt;—&lt;/td&gt;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&lt;td style="color:#9ca3af"&gt;—&lt;/td&gt;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&lt;td style="color:#9ca3af;font-size:11px;font-style:italic"&gt;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完全依赖先验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&lt;/tr&gt;'''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continue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total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(vote_dict.values())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weighted_score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(s * 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s, 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vote_dict.items()) / total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vote_bar = _vote_bar_html(vote_dict)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vote_detail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×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s, 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(vote_dict.items())])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红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绿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灰（中国市场惯例）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badge_cls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"bu"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红底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badge_color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"#e05252"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badge_cls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"bd2"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绿底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badge_color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"#3dba7e"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badge_cls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"bn"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灰底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badge_color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"#7a8caa"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vote_rows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f"""&lt;tr&gt;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class="an"&gt;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vote_bar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&lt;span class="tiny"&gt;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vote_detail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style="font-weight:600"&gt;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weighted_score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&lt;td&gt;&lt;span class="bd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badge_cls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arrow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 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direction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style="font-weight:600;color: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badge_color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q_val*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+.3f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&lt;/tr&gt;"""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──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权重对比表格行（紧凑版）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weight_rows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name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(names):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wm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(w_mkt[i])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ws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(w_star[i])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delta = ws - wm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delta &gt;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0.002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arrow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"↑"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direction_label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"#e05252"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看多红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delta_color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"#e05252"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delta &lt; -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0.002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arrow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"↓"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direction_label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"#3dba7e"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看空绿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delta_color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"#3dba7e"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arrow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"→"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direction_label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"#7a8caa"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delta_color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"#7a8caa"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name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dynamic_constraints: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 = dynamic_constraints[name].get(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"lower"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hi = dynamic_constraints[name].get(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"upper"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cstr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~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hi*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cstr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"—"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dir_bg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"rgba(224,82,82,0.12)"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direction_label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"rgba(61,186,126,0.12)"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direction_label ==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"rgba(122,140,170,0.10)"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delta_abs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(delta *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row_id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f"wrow-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name.replace(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'-'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).replace(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 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weight_rows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f"""&lt;tr id="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row_id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class="an"&gt;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style="color:#8a9bb5"&gt;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wm*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ws*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delta_color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;font-weight:600;font-size:12px"&gt;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delta_abs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%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arrow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&lt;td&gt;&lt;span class="bd" style="background: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dir_bg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dir_color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;padding:1px 7px;border-radius:20px;font-size:11px;font-weight:600"&gt;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direction_label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style="color:#6b7a99;font-size:12px"&gt;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cstr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&lt;/tr&gt;"""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liq_w = liquidity_config[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"weight"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liq_n = liquidity_config[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"name"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weight_rows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f'&lt;tr&gt;&lt;td class="an" style="color:#6b7a99"&gt;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liq_n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（锁定）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style="color:#6b7a99"&gt;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liq_w*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.1f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%&lt;/td&gt;&lt;td style="color:#6b7a99"&gt;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liq_w*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.1f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%&lt;/td&gt;&lt;td style="color:#6b7a99"&gt;— →&lt;/td&gt;&lt;td style="color:#6b7a99"&gt;—&lt;/td&gt;&lt;td style="color:#6b7a99;font-size:11px"&gt;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──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收益对比表格行（紧凑版）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return_rows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name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(names):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pi_v 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(Pi[i])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&lt;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(Pi)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q_v  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(Q[i])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&lt;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(Q)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mu_v 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(mu_BL[i])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&lt;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(mu_BL)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diff  = mu_v - pi_v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diff_color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"#dc2626"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diff &gt;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0.001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"#16a34a"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diff &lt; -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0.001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"#6b7280"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diff_arrow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"↑"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diff &gt;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0.001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"↓"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diff &lt; -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0.001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"→"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return_rows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f"""&lt;tr&gt;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class="an"&gt;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style="text-align:right"&gt;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pi_v*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.3f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style="text-align:right"&gt;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q_v*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+.3f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style="text-align:right;font-weight:600"&gt;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mu_v*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.3f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&lt;td style="text-align:right;color: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diff_color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;font-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weight:600"&gt;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diff*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+.3f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%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diff_arrow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&lt;/tr&gt;"""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──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约束说明行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constraint_rows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name, 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dynamic_constraints.items():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 = c.get(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"lower"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hi = c.get(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"upper"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constraint_rows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f'&lt;tr&gt;&lt;td class="an"&gt;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&lt;/td&gt;&lt;td&gt;&lt;span class="bd bn"&gt;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动态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&lt;/span&gt;&lt;/td&gt;&lt;td&gt;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.1f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% ~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hi*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.1f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%&lt;/td&gt;&lt;td class="tiny" style="color:#9ca3af"&gt;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风险平价权重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±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fixed_income_band*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%&lt;/td&gt;&lt;/tr&gt;'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gname, gc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group_constraints.items():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lo_str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f"≥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gc[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'lower'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%"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"lower"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"—"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hi_str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f"≤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gc[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'upper'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%"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"upper"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gc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"—"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constraint_rows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f'&lt;tr&gt;&lt;td class="an"&gt;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&lt;/td&gt;&lt;td&gt;&lt;span class="bd bn"&gt;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组合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&lt;/span&gt;&lt;/td&gt;&lt;td&gt;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lo_str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 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hi_str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 style="color:#9ca3af"&gt;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含权资产合计上限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──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纯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CSS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图表生成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154BB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_css_bar_chart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(series_list, labels, height=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220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生成纯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CSS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分组条形图（零依赖，单文件可独立运行）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series_list: [(name, color, values), ...]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labels: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各组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x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轴标签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values 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单位：已转换为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 xml:space="preserve"> %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"""</w:t>
      </w:r>
      <w:r w:rsidRPr="00D154BB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all_vals = [v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_, _, vals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series_list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vals]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max_abs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(v)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all_vals)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all_vals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max_val = max_abs *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1.15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留点顶部空间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Y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轴刻度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step = max_val /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yticks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[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round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(step * i,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bars_html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gi, label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(labels):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group_bars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si, (sname, color, vals)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(series_list):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v = vals[gi]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gi &lt;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(vals)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bar_h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(v) / max_val * (height -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bar_h =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(bar_h,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tooltip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label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|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: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+.3f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条形宽度用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flex:1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由父容器撑开，不写死像素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&gt;=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style = 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f"flex:1;min-width:0;height: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bar_h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.1f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px;"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f"background: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;border-radius:3px 3px 0 0;"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f"margin-top:auto;cursor:default"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style = 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f"flex:1;min-width:0;height: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bar_h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.1f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px;"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f"background: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;border-radius:0 0 3px 3px;"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f"opacity:0.7;cursor:default"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group_bars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f'&lt;div title="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tooltip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 style="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style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"&gt;&lt;/div&gt;'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short_label = label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(label) &lt;=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6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label[: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+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"…"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每个分组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flex:1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，等宽铺满容器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bars_html +=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f'''&lt;div style="flex:1;min-width:0;display:flex;flex-direction:column;align-items:stretch;gap:2px"&gt;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 style="display:flex;align-items:flex-end;gap:2px;height: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height-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px"&gt;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group_bars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 style="font-size:9px;color:#7a8caa;text-align:center;overflow:hidden;white-space:nowrap;text-overflow:ellipsis"&gt;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short_label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&lt;/div&gt;'''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图例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legend_html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f'&lt;span style="display:inline-flex;align-items:center;gap:4px;margin-right:12px;font-size:11px;color:#9ca3af"&gt;'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f'&lt;span style="display:inline-block;width:10px;height:10px;background: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color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;border-radius:2px"&gt;&lt;/span&gt;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sname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sname, color, _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series_list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f'''&lt;div style="padding:8px 0"&gt;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style="display:flex;gap:4px;justify-content:center;margin-bottom:8px"&gt;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legend_html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style="display:flex;align-items:flex-end;gap:6px;padding:0 8px;height: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height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bars_html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&lt;/div&gt;'''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权重图数据</w:t>
      </w:r>
      <w:r w:rsidRPr="00D154BB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w_mkt_pct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[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round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(v)*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w_mkt]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w_star_pct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[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round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(v)*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w_star]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Pi_pct     = [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round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(v)*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Pi]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Q_pct      = [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round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(v)*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Q]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mu_pct     = [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round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(v)*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mu_BL]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return_chart_html = _css_bar_chart(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[(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均衡收益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Π"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"rgba(99,130,230,0.85)"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 Pi_pct),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Q"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   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"rgba(52,199,150,0.85)"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  Q_pct),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后验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μ_BL"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 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"rgba(248,113,56,0.85)"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  mu_pct)],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names, </w:t>
      </w:r>
      <w:r w:rsidRPr="00D154BB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height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260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html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f"""&lt;!DOCTYPE html&gt;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&lt;html lang="zh-CN"&gt;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&lt;meta charset="UTF-8"&gt;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&lt;meta name="viewport" content="width=device-width, initial-scale=1.0"&gt;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&lt;title&gt;BL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报告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—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meeting_date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&lt;/title&gt;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&lt;style&gt;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*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box-sizing:border-box;margin:0;padding:0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html,body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min-height:100%;overflow:auto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body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font-family:-apple-system,"PingFang SC","Microsoft YaHei",sans-serif;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background:#1e2535;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color:#d4d8e2;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font-size:13px;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line-height:1.5;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顶部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header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（固定高度）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.hdr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background:linear-gradient(135deg,#0f1c3f 0%,#1a3a6e 60%,#1e4d8c 100%);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color:white;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padding:12px 20px;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display:flex;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align-items:center;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justify-content:space-between;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flex-shrink:0;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gap:16px;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.hdr h1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font-size:16px;font-weight:700;letter-spacing:0.3px;white-space:nowrap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.hdr .sub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font-size:11px;opacity:0.6;margin-top:1px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.meta-pills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display:flex;gap:8px;flex-shrink:0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.pill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background:rgba(255,255,255,0.12);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border:1px solid rgba(255,255,255,0.18);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border-radius:6px;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padding:4px 10px;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font-size:11px;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white-space:nowrap;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.pill b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font-size:13px;display:block;font-weight:700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.kpi-bar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display:flex;gap:10px;flex-shrink:0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border-radius:8px;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padding:8px 18px;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text-align:center;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white-space:nowrap;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min-width:90px;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.kpi-ret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background:rgba(220,38,38,0.18);border:1px solid rgba(220,38,38,0.45);border-bottom:3px solid #dc2626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.kpi-vol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background:rgba(99,130,230,0.18);border:1px solid rgba(99,130,230,0.45);border-bottom:3px solid #6382e6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.kpi-sharpe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background:rgba(52,199,150,0.18);border:1px solid rgba(52,199,150,0.45);border-bottom:3px solid #34c796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 .kv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font-size:22px;font-weight:800;letter-spacing:0.5px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.kpi-ret .kv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color:#f87171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.kpi-vol .kv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color:#93aaf5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.kpi-sharpe .kv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color:#34c796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.kpi .kl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font-size:10px;opacity:0.7;margin-top:3px;letter-spacing:0.3px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主体：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tab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导航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+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两栏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.body-wrap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display:flex;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flex-direction:column;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Tab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导航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.tabs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display:flex;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background:#141c2e;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padding:6px 16px 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gap:2px;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flex-shrink:0;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.tab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padding:6px 16px;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font-size:12px;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font-weight:600;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color:#7a8aa8;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cursor:pointer;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border-radius:6px 6px 0 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background:#1a2540;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border:none;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transition:all 0.15s;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white-space:nowrap;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.tab.active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background:#1e2d4a;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color:#93c5fd;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.tab:hover:not(.active)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background:#1f2e4d;color:#a8bcd8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Tab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内容区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.tab-content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display:none;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.tab-content.active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display:block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两栏布局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.two-col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display:grid;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grid-template-columns:1fr 1px 1fr;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align-items:stretch;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gap:0 10px;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padding:10px 16px;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.col-divider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background:#253552;margin:10px 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.col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display:flex;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flex-direction:column;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gap:10px;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padding-right:4px;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.col&gt;.card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flex:1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卡片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.card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background:#1e2d4a;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border-radius:8px;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padding:12px 16px;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box-shadow:0 2px 8px rgba(0,0,0,0.3);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flex-shrink:0;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border:1px solid #253552;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box-sizing:border-box;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.card.grow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flex:1;overflow:hidden;display:flex;flex-direction:column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.sec-title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font-size:11px;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font-weight:700;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color:#93c5fd;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text-transform:uppercase;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letter-spacing:0.8px;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margin-bottom:8px;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padding-bottom:6px;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border-bottom:1.5px solid #2d3f5e;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display:flex;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align-items:center;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gap:6px;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flex-shrink:0;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.sec-title .num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display:inline-flex;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align-items:center;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justify-content:center;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width:18px;height:18px;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background:#1d4ed8;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color:white;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border-radius:50%;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font-size:10px;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font-weight:700;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flex-shrink:0;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.desc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color:#8aa0be;font-size:11px;margin-bottom:8px;line-height:1.5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lastRenderedPageBreak/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表格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.tbl-wrap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overflow-y:auto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.tbl-wrap::-webkit-scrollbar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width:3px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.tbl-wrap::-webkit-scrollbar-thumb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background:#2d3f5e;border-radius:2px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table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width:100%;border-collapse:collapse;font-size:12px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thead th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background:#162236;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color:#7a8aa8;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font-weight:600;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padding:4px 8px;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text-align:left;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border-bottom:1px solid #253552;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white-space:nowrap;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font-size:11px;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position:sticky;top:0;z-index:1;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tbody td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padding:3px 8px;border-bottom:1px solid #1a2a42;vertical-align:middle;color:#c8d4e6;font-size:12px;height:36px;box-sizing:border-box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tbody tr:last-child td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border-bottom:none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tbody tr:hover td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background:#162236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.an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font-weight:500;color:#d4e0f0;white-space:nowrap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.tiny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font-size:10px;color:#5a7090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/* ── Badge 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.bd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display:inline-block;padding:1px 7px;border-radius:20px;font-size:11px;font-weight:600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.bu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background:rgba(224,82,82,0.15);color:#e05252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.bd2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background:rgba(61,186,126,0.15);color:#3dba7e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.bn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background:rgba(122,140,170,0.15);color:#7a8caa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指标卡组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.kpi-row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display:grid;grid-template-columns:repeat(3,1fr);gap:8px;margin-top:8px;flex-shrink:0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.metric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background:#162236;border-radius:6px;padding:10px 12px;border-left:3px solid #1d4ed8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.metric .ml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font-size:11px;color:#7a8aa8;margin-bottom:3px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.metric .mv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font-size:20px;font-weight:700;color:#e2eaf8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.metric .mu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font-size:12px;font-weight:400;color:#7a8aa8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/* ──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单栏布局（模型说明页）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── */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.one-col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padding:10px 16px;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flex:1;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overflow-y:auto;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display:flex;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flex-direction:column;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gap:10px;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.one-col::-webkit-scrollbar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width:4px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.one-col::-webkit-scrollbar-thumb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background:#2d3f5e;border-radius:2px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.steps-grid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display:grid;grid-template-columns:repeat(3,1fr);gap:8px;margin-top:8px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.step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background:#162236;border-radius:6px;padding:10px 12px;border-top:2px solid #1d4ed8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.step .sn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font-size:10px;color:#93c5fd;font-weight:700;text-transform:uppercase;margin-bottom:2px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.step .st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font-size:12px;font-weight:600;color:#d4e0f0;margin-bottom:2px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.step .sd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font-size:11px;color:#7a8aa8;line-height:1.4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.design-tbl th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background:#162236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.ref-list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list-style:none;padding:0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.ref-list li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padding:6px 0;border-bottom:1px solid #1a2a42;font-size:12px;color:#a8bcd8;display:flex;gap:8px;line-height:1.5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.ref-list li:last-child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border-bottom:none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.rn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min-width:18px;height:18px;background:#1e3a6e;color:#93c5fd;border-radius:50%;display:inline-flex;align-items:center;justify-content:center;font-size:10px;font-weight:700;flex-shrink:0;margin-top:2px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em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color:#93c5fd;font-style:italic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.note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font-size:10.5px;color:#5a7090;margin-top:6px;padding-top:6px;border-top:1px dashed #253552;flex-shrink:0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.sum-banner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display:flex;gap:10px;flex-wrap:wrap;margin-bottom:8px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.sum-tag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display:inline-flex;align-items:center;gap:6px;padding:5px 14px;border-radius:20px;font-size:13px;font-weight:700;letter-spacing:0.3px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.sum-tag-bull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background:rgba(224,82,82,0.15);border:1px solid rgba(224,82,82,0.5);color:#e05252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.sum-tag-bear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background:rgba(61,186,126,0.15);border:1px solid rgba(61,186,126,0.5);color:#3dba7e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.sum-tag-neu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background:rgba(122,140,170,0.15);border:1px solid rgba(122,140,170,0.4);color:#7a8caa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.sum-divider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width:1px;background:#1e3254;margin:0 4px;flex-shrink:0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.sum-move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margin-top:10px;padding:10px 14px;background:#111e35;border-radius:8px;border-left:3px solid #3b82f6;font-size:12.5px;color:#a8bcd8;line-height:1.8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.sum-move strong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color:#93c5fd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.sum-label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font-size:10px;color:#5a7090;margin-bottom:6px;text-transform:uppercase;letter-spacing:1px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.chart-wrap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flex-shrink:0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&lt;/style&gt;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&lt;/head&gt;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&lt;!-- ══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顶部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Header ══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&lt;div class="hdr"&gt;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&lt;h1&gt;Black-Litterman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资产配置模型报告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&lt;/h1&gt;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class="sub"&gt;Investment Committee · Quantitative Asset Allocation · Auto-generated&lt;/div&gt;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class="meta-pills"&gt;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class="pill"&gt;&lt;b&gt;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meeting_date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会议日期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class="pill"&gt;&lt;b&gt;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hist_start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数据起始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class="pill"&gt;&lt;b&gt;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hist_end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数据截止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class="pill"&gt;&lt;b&gt;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(names)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}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个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参与资产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&lt;!-- ══ Tab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导航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══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&lt;div class="body-wrap"&gt;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class="tabs"&gt;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&lt;button class="tab active" onclick="switchTab(0)"&gt;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本期配置结果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&lt;/button&gt;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&lt;button class="tab" onclick="switchTab(1)"&gt;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📖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模型说明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&lt;/button&gt;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&lt;button class="tab" onclick="switchTab(2)"&gt;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收益融合过程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&lt;/button&gt;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&lt;button class="tab" onclick="switchTab(3)"&gt;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🔒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约束说明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&lt;/button&gt;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&lt;!-- ══ Tab 0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：配置结果（两栏：投委会观点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|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权重对比）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══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class="tab-content active"&gt;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配置结论摘要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style="padding:8px 16px 0 16px;flex-shrink:0"&gt;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style="background:linear-gradient(135deg,#0d1e3d 0%,#111e38 60%,#0a1729 100%);border:1px solid #1e3254;border-radius:10px;padding:10px 16px"&gt;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style="display:flex;align-items:center;gap:8px;margin-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bottom:12px"&gt;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&lt;span style="font-size:16px"&gt;</w:t>
      </w:r>
      <w:r w:rsidRPr="00D154BB">
        <w:rPr>
          <w:rFonts w:ascii="Apple Color Emoji" w:eastAsia="宋体" w:hAnsi="Apple Color Emoji" w:cs="Apple Color Emoji"/>
          <w:color w:val="6AAB73"/>
          <w:kern w:val="0"/>
          <w:sz w:val="20"/>
          <w:szCs w:val="20"/>
          <w14:ligatures w14:val="none"/>
        </w:rPr>
        <w:t>🎯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&lt;span style="font-size:13px;font-weight:700;color:#93c5fd;text-transform:uppercase;letter-spacing:1.5px"&gt;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本期配置结论摘要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&lt;span style="flex:1;height:1px;background:linear-gradient(90deg,#1e3254,transparent)"&gt;&lt;/span&gt;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summary_html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      &lt;div style="margin-top:14px;padding-top:12px;border-top:1px solid #1e3254;display:grid;grid-template-columns:repeat(4,1fr);gap:12px"&gt;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style="background:linear-gradient(135deg,#12203f,#0e1b35);border:1px solid rgba(248,113,113,0.35);border-radius:10px;padding:14px 18px;box-shadow:0 2px 12px rgba(248,113,113,0.08),inset 0 1px 0 rgba(248,113,113,0.12)"&gt;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style="font-size:10px;font-weight:600;color:#7a8aa8;margin-bottom:8px;letter-spacing:1px;text-transform:uppercase"&gt;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预期年化收益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style="font-size:28px;font-weight:800;color:#f87171;letter-spacing:0.5px;line-height:1"&gt;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exp_port_ret*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style="margin-top:8px;height:2px;background:linear-gradient(90deg,rgba(248,113,113,0.6),transparent);border-radius:1px"&gt;&lt;/div&gt;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style="background:linear-gradient(135deg,#12203f,#0e1b35);border:1px solid rgba(147,170,245,0.35);border-radius:10px;padding:14px 18px;box-shadow:0 2px 12px rgba(147,170,245,0.08),inset 0 1px 0 rgba(147,170,245,0.12)"&gt;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style="font-size:10px;font-weight:600;color:#7a8aa8;margin-bottom:8px;letter-spacing:1px;text-transform:uppercase"&gt;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预期年化波动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style="font-size:28px;font-weight:800;color:#93aaf5;letter-spacing:0.5px;line-height:1"&gt;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exp_port_vol*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style="margin-top:8px;height:2px;background:linear-gradient(90deg,rgba(147,170,245,0.6),transparent);border-radius:1px"&gt;&lt;/div&gt;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style="background:linear-gradient(135deg,#12203f,#0e1b35);border:1px solid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rgba(248,180,60,0.35);border-radius:10px;padding:14px 18px;box-shadow:0 2px 12px rgba(248,180,60,0.08),inset 0 1px 0 rgba(248,180,60,0.12)"&gt;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style="font-size:10px;font-weight:600;color:#7a8aa8;margin-bottom:8px;letter-spacing:1px;text-transform:uppercase"&gt;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夏普比率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style="font-size:28px;font-weight:800;color:#f8b43c;letter-spacing:0.5px;line-height:1"&gt;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exp_port_sharpe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style="margin-top:8px;height:2px;background:linear-gradient(90deg,rgba(248,180,60,0.6),transparent);border-radius:1px"&gt;&lt;/div&gt;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style="background:linear-gradient(135deg,#12203f,#0e1b35);border:1px solid rgba(52,199,150,0.35);border-radius:10px;padding:14px 18px;box-shadow:0 2px 12px rgba(52,199,150,0.08),inset 0 1px 0 rgba(52,199,150,0.12)"&gt;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style="font-size:10px;font-weight:600;color:#7a8aa8;margin-bottom:8px;letter-spacing:1px;text-transform:uppercase"&gt;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历史最大回撤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style="font-size:28px;font-weight:800;color:#34c796;letter-spacing:0.5px;line-height:1"&gt;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max_drawdown*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style="margin-top:8px;height:2px;background:linear-gradient(90deg,rgba(52,199,150,0.6),transparent);border-radius:1px"&gt;&lt;/div&gt;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class="two-col"&gt;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左栏：投委会观点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class="card"&gt;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style="padding:4px 0 8px"&gt;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style="font-size:11px;font-weight:700;color:#7a8aa8;text-transform:uppercase;letter-spacing:1px;margin-bottom:8px"&gt;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本期投委会观点汇总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资产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 style="min-width:120px"&gt;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投票分布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加权得分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观点方向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量化观点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Q&lt;/th&gt;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&lt;/thead&gt;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&lt;tbody&gt;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vote_rows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class="note" style="margin-top:4px;line-height:2"&gt;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&lt;div&gt;*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色块：红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灰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绿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看空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&lt;div&gt;* Q =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投票转换后年化预期收益率（固收已通过久期转换）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&lt;div&gt;*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票型：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谨慎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2-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中性偏谨慎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3-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4-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中性偏乐观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5-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乐观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分隔线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class="col-divider"&gt;&lt;/div&gt;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右栏：配置结果明细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class="card"&gt;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style="padding:4px 0 8px"&gt;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style="font-size:11px;font-weight:700;color:#7a8aa8;text-transform:uppercase;letter-spacing:1px;margin-bottom:8px"&gt;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配置结果明细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资产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均衡权重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配置权重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变动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配置方向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约束范围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&lt;/thead&gt;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&lt;tbody&gt;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weight_rows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&lt;div class="note" style="margin-top:4px;line-height:2"&gt;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&lt;div&gt;*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组合权重基于后验收益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μ_BL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和历史协方差矩阵优化计算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&lt;div&gt;* &lt;strong style="color:#e2c87a"&gt;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本表核心在于相对变化（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w* − w_mkt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），而非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w*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的绝对数值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&lt;/strong&gt;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：模型绝对权重受建模假设影响，稳定性有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限；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w* − w_mkt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才是本期投委会观点的净信号，决定增减方向与幅度。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w*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仅作为移动目标区间的参考上限，实际执行还需结合持仓、换手成本及流动性综合判断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&lt;!-- ══ Tab 1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：模型说明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══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class="tab-content"&gt;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class="one-col"&gt;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class="card"&gt;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class="sec-title"&gt;&lt;span class="num"&gt;</w:t>
      </w:r>
      <w:r w:rsidRPr="00D154BB">
        <w:rPr>
          <w:rFonts w:ascii="Cambria Math" w:eastAsia="宋体" w:hAnsi="Cambria Math" w:cs="Cambria Math"/>
          <w:color w:val="6AAB73"/>
          <w:kern w:val="0"/>
          <w:sz w:val="20"/>
          <w:szCs w:val="20"/>
          <w14:ligatures w14:val="none"/>
        </w:rPr>
        <w:t>①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模型原理简介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&lt;p class="desc"&gt;Black-Litterman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模型通过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&lt;strong&gt;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贝叶斯框架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&lt;/strong&gt;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将市场均衡先验与投资委员会主观观点融合，解决了传统均值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方差优化对输入高度敏感的问题，输出更稳健的预期收益与配置权重。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&lt;/p&gt;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class="steps-grid"&gt;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class="step"&gt;&lt;div class="sn"&gt;Step 01&lt;/div&gt;&lt;div class="st"&gt;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估计协方差矩阵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&lt;/div&gt;&lt;div class="sd"&gt;Ledoit-Wolf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收缩估计，基于近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年滚动历史，降低噪声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class="step"&gt;&lt;div class="sn"&gt;Step 02&lt;/div&gt;&lt;div class="st"&gt;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计算均衡基准权重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&lt;/div&gt;&lt;div class="sd"&gt;SAA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大类约束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+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大类内部风险平价，得均衡权重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w_mkt&lt;/div&gt;&lt;/div&gt;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class="step"&gt;&lt;div class="sn"&gt;Step 03&lt;/div&gt;&lt;div class="st"&gt;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推算均衡隐含收益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Π&lt;/div&gt;&lt;div class="sd"&gt;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从均衡权重反推市场隐含的预期收益率，作为贝叶斯先验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class="step"&gt;&lt;div class="sn"&gt;Step 04&lt;/div&gt;&lt;div class="st"&gt;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汇总投委会观点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Q&lt;/div&gt;&lt;div class="sd"&gt;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将打分（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1–5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分）转换为量化收益预期，委员分歧影响可信度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class="step"&gt;&lt;div class="sn"&gt;Step 05&lt;/div&gt;&lt;div class="st"&gt;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贝叶斯融合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→ μ_BL&lt;/div&gt;&lt;div class="sd"&gt;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将均衡先验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与观点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Q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按可信度加权融合，得后验收益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class="step"&gt;&lt;div class="sn"&gt;Step 06&lt;/div&gt;&lt;div class="st"&gt;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均值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-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方差优化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→ w*&lt;/div&gt;&lt;div class="sd"&gt;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SAA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及权重约束下，基于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μ_BL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求解最优配置权重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w*&lt;/div&gt;&lt;/div&gt;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class="card"&gt;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class="sec-title"&gt;&lt;span class="num"&gt;</w:t>
      </w:r>
      <w:r w:rsidRPr="00D154BB">
        <w:rPr>
          <w:rFonts w:ascii="Cambria Math" w:eastAsia="宋体" w:hAnsi="Cambria Math" w:cs="Cambria Math"/>
          <w:color w:val="6AAB73"/>
          <w:kern w:val="0"/>
          <w:sz w:val="20"/>
          <w:szCs w:val="20"/>
          <w14:ligatures w14:val="none"/>
        </w:rPr>
        <w:t>②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模型设计说明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&lt;table class="design-tbl"&gt;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&lt;thead&gt;&lt;tr&gt;&lt;th style="width:18%"&gt;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设计决策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&lt;/th&gt;&lt;th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style="width:42%"&gt;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具体做法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原因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&lt;/th&gt;&lt;/tr&gt;&lt;/thead&gt;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均衡基准权重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&lt;/td&gt;&lt;td&gt;SAA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规定各大类总占比，大类内部多个子资产之间用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&lt;strong&gt;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风险平价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&lt;/strong&gt;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分配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使各子资产对组合风险的贡献相等，避免高波动资产占据绝大部分风险预算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固收价格构造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中债登收益率曲线，通过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&lt;em&gt;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价格收益率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= −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久期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×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利率日变动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&lt;/em&gt;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还原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固收无直接二级市场价格指数，需从收益率曲线还原价格波动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协方差矩阵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&lt;/td&gt;&lt;td&gt;Ledoit-Wolf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收缩估计，近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3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年滚动历史（约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750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个交易日）年化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样本协方差矩阵在资产较多时噪声大，收缩估计能有效降低估计误差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投委会观点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每个资产独立打分（绝对观点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1–5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），各档对应收益区间中点按票数加权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绝对观点直观易操作；区间中点是保守的无偏估计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固收观点转换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固收打分对应利率变动幅度（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bp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），乘以负久期换算为价格收益率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投委会习惯用利率升降描述；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BL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框架需统一的价格收益率口径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观点不确定性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Ω&lt;/td&gt;&lt;td&gt;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基础值取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He-Litterman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标准公式（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τ·PΣPᵀ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），再乘以委员分歧系数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委员分歧越大，模型降低该观点可信度，更多依赖均衡先验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流动性处理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流动性资产占比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6%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直接锁定，不参与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BL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优化；其余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94%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进入模型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流动性配置由产品流动性管理需求决定，与收益优化目标无关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class="card"&gt;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class="sec-title"&gt;&lt;span class="num"&gt;</w:t>
      </w:r>
      <w:r w:rsidRPr="00D154BB">
        <w:rPr>
          <w:rFonts w:ascii="Cambria Math" w:eastAsia="宋体" w:hAnsi="Cambria Math" w:cs="Cambria Math"/>
          <w:color w:val="6AAB73"/>
          <w:kern w:val="0"/>
          <w:sz w:val="20"/>
          <w:szCs w:val="20"/>
          <w14:ligatures w14:val="none"/>
        </w:rPr>
        <w:t>③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参考文献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&lt;ul class="ref-list"&gt;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&lt;li&gt;&lt;span class="rn"&gt;1&lt;/span&gt;&lt;span&gt;Black, F., &amp;amp; Litterman, R. (1992). &lt;em&gt;Global Portfolio Optimization.&lt;/em&gt; Financial Analysts Journal, 48(5), 28–43.&lt;/span&gt;&lt;/li&gt;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&lt;li&gt;&lt;span class="rn"&gt;2&lt;/span&gt;&lt;span&gt;He, G., &amp;amp; Litterman, R. (1999). &lt;em&gt;The Intuition Behind Black-Litterman Model Portfolios.&lt;/em&gt; Goldman Sachs Investment Management Research.&lt;/span&gt;&lt;/li&gt;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&lt;li&gt;&lt;span class="rn"&gt;3&lt;/span&gt;&lt;span&gt;Ledoit, O., &amp;amp; Wolf, M. (2004). &lt;em&gt;A well-conditioned estimator for large-dimensional covariance matrices.&lt;/em&gt; Journal of Multivariate Analysis, 88(2), 365–411.&lt;/span&gt;&lt;/li&gt;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&lt;li&gt;&lt;span class="rn"&gt;4&lt;/span&gt;&lt;span&gt;Maillard, S., Roncalli, T., &amp;amp; Teïletche, J. (2010). &lt;em&gt;The Properties of Equally Weighted Risk Contribution Portfolios.&lt;/em&gt; Journal of Portfolio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Management, 36(4), 60–70.&lt;/span&gt;&lt;/li&gt;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&lt;/ul&gt;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&lt;!-- ══ Tab 2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：收益融合过程（两栏：图表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|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表格）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══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class="tab-content"&gt;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class="two-col"&gt;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左栏：图表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class="card" style="display:flex;flex-direction:column;flex:1"&gt;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class="sec-title"&gt;&lt;span class="num"&gt;2&lt;/span&gt;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均衡收益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Π /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Q /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后验收益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μ_BL&lt;/div&gt;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&lt;p class="desc"&gt;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均衡收益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Π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是模型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出发点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（纯风险分散视角），观点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Q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是本期投委会主观判断，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μ_BL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是贝叶斯融合后的最终预期收益，驱动后续优化。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&lt;/p&gt;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return_chart_html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分割线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class="col-divider"&gt;&lt;/div&gt;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&lt;!--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右栏：表格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class="card" style="display:flex;flex-direction:column;flex:1;overflow:hidden"&gt;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class="sec-title"&gt;&lt;span class="num"&gt;2&lt;/span&gt;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收益融合明细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class="tbl-wrap"&gt;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资产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 style="text-align:right"&gt;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均衡收益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Π&lt;/th&gt;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 style="text-align:right"&gt;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观点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Q&lt;/th&gt;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 style="text-align:right"&gt;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后验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μ_BL&lt;/th&gt;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 style="text-align:right"&gt;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融合偏移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&lt;/thead&gt;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&lt;tbody&gt;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return_rows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class="note"&gt;*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融合偏移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= μ_BL − Π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，正值表示观点拉高了对该资产的收益预期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&lt;!-- ══ Tab 3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：约束说明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══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&lt;div class="tab-content"&gt;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&lt;div class="two-col" style="align-items:stretch"&gt;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class="card" style="display:flex;flex-direction:column;flex:1;overflow:hidden"&gt;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class="sec-title"&gt;&lt;span class="num"&gt;4&lt;/span&gt;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本期生效约束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&lt;p class="desc"&gt;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固收子类权重上下限基于本期风险平价权重动态生成（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±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fixed_income_band*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），防止久期风险过度集中。含权资产合计上限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20%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，流动性资产固定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6%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&lt;/p&gt;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class="tbl-wrap"&gt;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资产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/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分组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约束类型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本期范围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说明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&lt;/thead&gt;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&lt;tbody&gt;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constraint_rows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class="col-divider"&gt;&lt;/div&gt;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&lt;div class="col"&gt;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&lt;div class="card" style="display:flex;flex-direction:column;flex:1;min-height:0"&gt;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&lt;div class="sec-title"&gt;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约束设计原则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&lt;thead&gt;&lt;tr&gt;&lt;th&gt;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约束类型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规则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&lt;/th&gt;&lt;th&gt;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目的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&lt;/th&gt;&lt;/tr&gt;&lt;/thead&gt;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固收动态约束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风险平价权重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× (1 ±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fixed_income_band*</w:t>
      </w:r>
      <w:r w:rsidRPr="00D154BB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.0f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%)&lt;/td&gt;&lt;td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防止久期过度集中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含权合计上限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含权类资产合计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≤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lastRenderedPageBreak/>
        <w:t>20%&lt;/td&gt;&lt;td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匹配产品风险属性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流动性锁定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固定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6%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，不进优化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满足产品流动性需求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&lt;tr&gt;&lt;td class="an"&gt;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全局权重下限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各资产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≥ 0%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（做多）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&lt;/td&gt;&lt;td class="tiny"&gt;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不允许做空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&lt;/td&gt;&lt;/tr&gt;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&lt;/tbody&gt;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&lt;/table&gt;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&lt;/div&gt;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&lt;/div&gt;&lt;!-- end body-wrap --&gt;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&lt;script&gt;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function switchTab(idx)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document.querySelectorAll('.tab').forEach((t,i) =&gt; t.classList.toggle('active', i===idx));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document.querySelectorAll('.tab-content').forEach((c,i) =&gt; c.classList.toggle('active', i===idx));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//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切换到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Tab2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时渲染收益图（首次可能未渲染）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if(idx===2)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setTimeout(initReturnChart, 50);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function highlightRow(rowId)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var row = document.getElementById(rowId);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if (!row) return;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row.scrollIntoView(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behavior:'smooth', block:'center'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row.style.transition = 'background 0.2s';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row.style.background = 'rgba(248,180,60,0.30)';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setTimeout(function()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{{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   row.style.transition = 'background 1.5s';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row.style.background = '';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, 1200);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}}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&lt;/script&gt;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&lt;/body&gt;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>&lt;/html&gt;"""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output_path = os.path.join(output_dir,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f"BL_report_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meeting_date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.html"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(output_path,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154BB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"utf-8"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f: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f.write(html)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D154BB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[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报告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] 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已生成：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output_path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D154BB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154BB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154BB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output_path</w:t>
      </w:r>
    </w:p>
    <w:p w14:paraId="3799D2A9" w14:textId="77777777" w:rsidR="00523B42" w:rsidRPr="00D154BB" w:rsidRDefault="00523B42">
      <w:pPr>
        <w:rPr>
          <w:rFonts w:hint="eastAsia"/>
        </w:rPr>
      </w:pPr>
    </w:p>
    <w:sectPr w:rsidR="00523B42" w:rsidRPr="00D15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A9"/>
    <w:rsid w:val="000A2282"/>
    <w:rsid w:val="00523B42"/>
    <w:rsid w:val="008434A9"/>
    <w:rsid w:val="00AD09E6"/>
    <w:rsid w:val="00D0587D"/>
    <w:rsid w:val="00D154BB"/>
    <w:rsid w:val="00F518D0"/>
    <w:rsid w:val="00FD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3E59C"/>
  <w15:chartTrackingRefBased/>
  <w15:docId w15:val="{DED23CA0-4DF8-284A-AAC1-20B5E4E0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3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4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4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4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4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4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4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4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4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434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434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434A9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5694</Words>
  <Characters>32458</Characters>
  <Application>Microsoft Office Word</Application>
  <DocSecurity>0</DocSecurity>
  <Lines>270</Lines>
  <Paragraphs>76</Paragraphs>
  <ScaleCrop>false</ScaleCrop>
  <Company/>
  <LinksUpToDate>false</LinksUpToDate>
  <CharactersWithSpaces>38076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a13928</dc:creator>
  <cp:keywords/>
  <dc:description/>
  <cp:lastModifiedBy>a13928</cp:lastModifiedBy>
  <cp:revision>12</cp:revision>
  <dcterms:created xsi:type="dcterms:W3CDTF">2026-06-11T00:55:00Z</dcterms:created>
  <dcterms:modified xsi:type="dcterms:W3CDTF">2026-06-12T07:45:00Z</dcterms:modified>
</cp:coreProperties>
</file>