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D44" w:rsidRDefault="003A3D44" w:rsidP="003A3D4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kern w:val="36"/>
          <w:sz w:val="48"/>
          <w:szCs w:val="48"/>
          <w:lang w:eastAsia="en-IN"/>
        </w:rPr>
        <w:t>Mo</w:t>
      </w:r>
      <w:r>
        <w:rPr>
          <w:rFonts w:ascii="Times New Roman" w:eastAsia="Times New Roman" w:hAnsi="Times New Roman" w:cs="Times New Roman"/>
          <w:b/>
          <w:bCs/>
          <w:kern w:val="36"/>
          <w:sz w:val="48"/>
          <w:szCs w:val="48"/>
          <w:lang w:eastAsia="en-IN"/>
        </w:rPr>
        <w:t>ot Speech – Speaker 1 (Respondent</w:t>
      </w:r>
      <w:r>
        <w:rPr>
          <w:rFonts w:ascii="Times New Roman" w:eastAsia="Times New Roman" w:hAnsi="Times New Roman" w:cs="Times New Roman"/>
          <w:b/>
          <w:bCs/>
          <w:kern w:val="36"/>
          <w:sz w:val="48"/>
          <w:szCs w:val="48"/>
          <w:lang w:eastAsia="en-IN"/>
        </w:rPr>
        <w:t xml:space="preserve">’s Side, </w:t>
      </w:r>
      <w:r>
        <w:rPr>
          <w:rFonts w:ascii="Times New Roman" w:eastAsia="Times New Roman" w:hAnsi="Times New Roman" w:cs="Times New Roman"/>
          <w:b/>
          <w:bCs/>
          <w:kern w:val="36"/>
          <w:sz w:val="48"/>
          <w:szCs w:val="48"/>
          <w:lang w:eastAsia="en-IN"/>
        </w:rPr>
        <w:t>State of Wellesley</w:t>
      </w:r>
      <w:r>
        <w:rPr>
          <w:rFonts w:ascii="Times New Roman" w:eastAsia="Times New Roman" w:hAnsi="Times New Roman" w:cs="Times New Roman"/>
          <w:b/>
          <w:bCs/>
          <w:kern w:val="36"/>
          <w:sz w:val="48"/>
          <w:szCs w:val="48"/>
          <w:lang w:eastAsia="en-IN"/>
        </w:rPr>
        <w:t>.)</w:t>
      </w:r>
    </w:p>
    <w:p w:rsidR="003A3D44" w:rsidRDefault="003A3D44" w:rsidP="003A3D44">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451.3pt;height:1.5pt" o:hralign="center" o:hrstd="t" o:hr="t" fillcolor="#a0a0a0" stroked="f"/>
        </w:pict>
      </w:r>
    </w:p>
    <w:p w:rsidR="003A3D44" w:rsidRDefault="003A3D44" w:rsidP="003A3D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[Opening Formalities]</w:t>
      </w:r>
    </w:p>
    <w:p w:rsidR="003A3D44" w:rsidRDefault="003A3D44" w:rsidP="003A3D4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Counsel seeks permission to approach the dais.</w:t>
      </w:r>
    </w:p>
    <w:p w:rsidR="003A3D44" w:rsidRDefault="003A3D44" w:rsidP="003A3D4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Counsel seeks permission to address this Hon’ble Bench collectively as </w:t>
      </w:r>
      <w:r>
        <w:rPr>
          <w:rFonts w:ascii="Times New Roman" w:eastAsia="Times New Roman" w:hAnsi="Times New Roman" w:cs="Times New Roman"/>
          <w:i/>
          <w:iCs/>
          <w:sz w:val="24"/>
          <w:szCs w:val="24"/>
          <w:lang w:eastAsia="en-IN"/>
        </w:rPr>
        <w:t>Your Lordships</w:t>
      </w:r>
      <w:r>
        <w:rPr>
          <w:rFonts w:ascii="Times New Roman" w:eastAsia="Times New Roman" w:hAnsi="Times New Roman" w:cs="Times New Roman"/>
          <w:sz w:val="24"/>
          <w:szCs w:val="24"/>
          <w:lang w:eastAsia="en-IN"/>
        </w:rPr>
        <w:t>.</w:t>
      </w:r>
    </w:p>
    <w:p w:rsidR="003A3D44" w:rsidRDefault="003A3D44" w:rsidP="003A3D4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Counsel appears before this Hon’ble Court in the matter of </w:t>
      </w:r>
      <w:proofErr w:type="spellStart"/>
      <w:r>
        <w:rPr>
          <w:rFonts w:ascii="Times New Roman" w:eastAsia="Times New Roman" w:hAnsi="Times New Roman" w:cs="Times New Roman"/>
          <w:i/>
          <w:iCs/>
          <w:sz w:val="24"/>
          <w:szCs w:val="24"/>
          <w:lang w:eastAsia="en-IN"/>
        </w:rPr>
        <w:t>Medi</w:t>
      </w:r>
      <w:proofErr w:type="spellEnd"/>
      <w:r>
        <w:rPr>
          <w:rFonts w:ascii="Times New Roman" w:eastAsia="Times New Roman" w:hAnsi="Times New Roman" w:cs="Times New Roman"/>
          <w:i/>
          <w:iCs/>
          <w:sz w:val="24"/>
          <w:szCs w:val="24"/>
          <w:lang w:eastAsia="en-IN"/>
        </w:rPr>
        <w:t xml:space="preserve"> Health </w:t>
      </w:r>
      <w:proofErr w:type="spellStart"/>
      <w:r>
        <w:rPr>
          <w:rFonts w:ascii="Times New Roman" w:eastAsia="Times New Roman" w:hAnsi="Times New Roman" w:cs="Times New Roman"/>
          <w:i/>
          <w:iCs/>
          <w:sz w:val="24"/>
          <w:szCs w:val="24"/>
          <w:lang w:eastAsia="en-IN"/>
        </w:rPr>
        <w:t>Pvt.</w:t>
      </w:r>
      <w:proofErr w:type="spellEnd"/>
      <w:r>
        <w:rPr>
          <w:rFonts w:ascii="Times New Roman" w:eastAsia="Times New Roman" w:hAnsi="Times New Roman" w:cs="Times New Roman"/>
          <w:i/>
          <w:iCs/>
          <w:sz w:val="24"/>
          <w:szCs w:val="24"/>
          <w:lang w:eastAsia="en-IN"/>
        </w:rPr>
        <w:t xml:space="preserve"> Ltd. vs. State of Wellesley </w:t>
      </w:r>
      <w:r w:rsidR="006E056D">
        <w:rPr>
          <w:rFonts w:ascii="Times New Roman" w:eastAsia="Times New Roman" w:hAnsi="Times New Roman" w:cs="Times New Roman"/>
          <w:sz w:val="24"/>
          <w:szCs w:val="24"/>
          <w:lang w:eastAsia="en-IN"/>
        </w:rPr>
        <w:t>on behalf of the Respondent</w:t>
      </w:r>
      <w:r>
        <w:rPr>
          <w:rFonts w:ascii="Times New Roman" w:eastAsia="Times New Roman" w:hAnsi="Times New Roman" w:cs="Times New Roman"/>
          <w:sz w:val="24"/>
          <w:szCs w:val="24"/>
          <w:lang w:eastAsia="en-IN"/>
        </w:rPr>
        <w:t xml:space="preserve">, </w:t>
      </w:r>
      <w:r w:rsidR="006E056D">
        <w:rPr>
          <w:rFonts w:ascii="Times New Roman" w:eastAsia="Times New Roman" w:hAnsi="Times New Roman" w:cs="Times New Roman"/>
          <w:sz w:val="24"/>
          <w:szCs w:val="24"/>
          <w:lang w:eastAsia="en-IN"/>
        </w:rPr>
        <w:t xml:space="preserve">that is State of </w:t>
      </w:r>
      <w:proofErr w:type="spellStart"/>
      <w:r w:rsidR="006E056D">
        <w:rPr>
          <w:rFonts w:ascii="Times New Roman" w:eastAsia="Times New Roman" w:hAnsi="Times New Roman" w:cs="Times New Roman"/>
          <w:sz w:val="24"/>
          <w:szCs w:val="24"/>
          <w:lang w:eastAsia="en-IN"/>
        </w:rPr>
        <w:t>wellesley</w:t>
      </w:r>
      <w:proofErr w:type="spellEnd"/>
      <w:r>
        <w:rPr>
          <w:rFonts w:ascii="Times New Roman" w:eastAsia="Times New Roman" w:hAnsi="Times New Roman" w:cs="Times New Roman"/>
          <w:sz w:val="24"/>
          <w:szCs w:val="24"/>
          <w:lang w:eastAsia="en-IN"/>
        </w:rPr>
        <w:t>.</w:t>
      </w:r>
    </w:p>
    <w:p w:rsidR="003A3D44" w:rsidRDefault="003A3D44" w:rsidP="003A3D44">
      <w:pPr>
        <w:spacing w:before="100" w:beforeAutospacing="1" w:after="100" w:afterAutospacing="1"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Jurisdiction</w:t>
      </w:r>
    </w:p>
    <w:p w:rsidR="003A3D44" w:rsidRDefault="003A3D44" w:rsidP="003A3D44">
      <w:pPr>
        <w:rPr>
          <w:i/>
        </w:rPr>
      </w:pPr>
      <w:r>
        <w:rPr>
          <w:i/>
        </w:rPr>
        <w:t>May it please Your Lordships, I, appearing on behalf of the Appellant, humbly seek Your Lordships’ permission to present the case. If permitted, I will first establish the jurisdiction of this Hon’ble Court.</w:t>
      </w:r>
    </w:p>
    <w:p w:rsidR="00615E01" w:rsidRDefault="003A3D44" w:rsidP="003A3D44">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Your Lordships, although the High Court </w:t>
      </w:r>
      <w:r w:rsidR="0025413D">
        <w:rPr>
          <w:rFonts w:ascii="Times New Roman" w:eastAsia="Times New Roman" w:hAnsi="Times New Roman" w:cs="Times New Roman"/>
          <w:sz w:val="24"/>
          <w:szCs w:val="24"/>
          <w:lang w:eastAsia="en-IN"/>
        </w:rPr>
        <w:t xml:space="preserve">had </w:t>
      </w:r>
      <w:r>
        <w:rPr>
          <w:rFonts w:ascii="Times New Roman" w:eastAsia="Times New Roman" w:hAnsi="Times New Roman" w:cs="Times New Roman"/>
          <w:sz w:val="24"/>
          <w:szCs w:val="24"/>
          <w:lang w:eastAsia="en-IN"/>
        </w:rPr>
        <w:t xml:space="preserve">rejected the Appellant’s petition, </w:t>
      </w:r>
    </w:p>
    <w:p w:rsidR="00615E01" w:rsidRDefault="00615E01" w:rsidP="00615E01">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w:t>
      </w:r>
      <w:r w:rsidRPr="00615E01">
        <w:rPr>
          <w:rFonts w:ascii="Times New Roman" w:eastAsia="Times New Roman" w:hAnsi="Times New Roman" w:cs="Times New Roman"/>
          <w:sz w:val="24"/>
          <w:szCs w:val="24"/>
          <w:lang w:eastAsia="en-IN"/>
        </w:rPr>
        <w:t xml:space="preserve">he High Court has already applied its judicial mind and dismissed the writ, recognising this as a matter of </w:t>
      </w:r>
      <w:r w:rsidRPr="00615E01">
        <w:rPr>
          <w:rFonts w:ascii="Times New Roman" w:eastAsia="Times New Roman" w:hAnsi="Times New Roman" w:cs="Times New Roman"/>
          <w:b/>
          <w:bCs/>
          <w:sz w:val="24"/>
          <w:szCs w:val="24"/>
          <w:lang w:eastAsia="en-IN"/>
        </w:rPr>
        <w:t>policy discretion</w:t>
      </w:r>
      <w:r>
        <w:rPr>
          <w:rFonts w:ascii="Times New Roman" w:eastAsia="Times New Roman" w:hAnsi="Times New Roman" w:cs="Times New Roman"/>
          <w:b/>
          <w:bCs/>
          <w:sz w:val="24"/>
          <w:szCs w:val="24"/>
          <w:lang w:eastAsia="en-IN"/>
        </w:rPr>
        <w:t xml:space="preserve"> &amp; holding that contractual disputes ordinarily fall outside writ jurisdiction</w:t>
      </w:r>
      <w:r w:rsidRPr="00615E01">
        <w:rPr>
          <w:rFonts w:ascii="Times New Roman" w:eastAsia="Times New Roman" w:hAnsi="Times New Roman" w:cs="Times New Roman"/>
          <w:sz w:val="24"/>
          <w:szCs w:val="24"/>
          <w:lang w:eastAsia="en-IN"/>
        </w:rPr>
        <w:t xml:space="preserve">, where judicial interference is minimal. Unless the Appellant shows clear mala fides or perversity, </w:t>
      </w:r>
      <w:r w:rsidR="00B12E1A">
        <w:rPr>
          <w:rFonts w:ascii="Times New Roman" w:eastAsia="Times New Roman" w:hAnsi="Times New Roman" w:cs="Times New Roman"/>
          <w:sz w:val="24"/>
          <w:szCs w:val="24"/>
          <w:lang w:eastAsia="en-IN"/>
        </w:rPr>
        <w:t xml:space="preserve">saying </w:t>
      </w:r>
      <w:r w:rsidRPr="00615E01">
        <w:rPr>
          <w:rFonts w:ascii="Times New Roman" w:eastAsia="Times New Roman" w:hAnsi="Times New Roman" w:cs="Times New Roman"/>
          <w:sz w:val="24"/>
          <w:szCs w:val="24"/>
          <w:lang w:eastAsia="en-IN"/>
        </w:rPr>
        <w:t xml:space="preserve">this Hon’ble </w:t>
      </w:r>
      <w:r w:rsidR="009E05CF">
        <w:rPr>
          <w:rFonts w:ascii="Times New Roman" w:eastAsia="Times New Roman" w:hAnsi="Times New Roman" w:cs="Times New Roman"/>
          <w:sz w:val="24"/>
          <w:szCs w:val="24"/>
          <w:lang w:eastAsia="en-IN"/>
        </w:rPr>
        <w:t xml:space="preserve">High </w:t>
      </w:r>
      <w:r w:rsidRPr="00615E01">
        <w:rPr>
          <w:rFonts w:ascii="Times New Roman" w:eastAsia="Times New Roman" w:hAnsi="Times New Roman" w:cs="Times New Roman"/>
          <w:sz w:val="24"/>
          <w:szCs w:val="24"/>
          <w:lang w:eastAsia="en-IN"/>
        </w:rPr>
        <w:t>Court need not intervene further.</w:t>
      </w:r>
    </w:p>
    <w:p w:rsidR="0025413D" w:rsidRDefault="0025413D" w:rsidP="0025413D">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Appellant has approached this Hon’ble Supreme Court under Article 136. This Court, exercising its discretionary power under Special Leave Petition, has been pleased to admit the appeal. </w:t>
      </w:r>
    </w:p>
    <w:p w:rsidR="0025413D" w:rsidRPr="0025413D" w:rsidRDefault="0025413D" w:rsidP="0025413D">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5413D">
        <w:rPr>
          <w:rFonts w:ascii="Times New Roman" w:eastAsia="Times New Roman" w:hAnsi="Times New Roman" w:cs="Times New Roman"/>
          <w:sz w:val="24"/>
          <w:szCs w:val="24"/>
          <w:lang w:eastAsia="en-IN"/>
        </w:rPr>
        <w:t>Your Lordships, it is respectfully submitted that the very admission of the SLP does not, in itself, establish that any injustice has occurred. Admission only signifies that this Hon’ble Court has deemed it appropriate to hear the matter further.</w:t>
      </w:r>
    </w:p>
    <w:p w:rsidR="0025413D" w:rsidRPr="0025413D" w:rsidRDefault="0025413D" w:rsidP="0025413D">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5413D">
        <w:rPr>
          <w:rFonts w:ascii="Times New Roman" w:eastAsia="Times New Roman" w:hAnsi="Times New Roman" w:cs="Times New Roman"/>
          <w:sz w:val="24"/>
          <w:szCs w:val="24"/>
          <w:lang w:eastAsia="en-IN"/>
        </w:rPr>
        <w:t>It is well settled that admission of an SLP is not a finding on merits. It merely grants the Appellant a hearing before this Hon’ble Court.</w:t>
      </w:r>
    </w:p>
    <w:p w:rsidR="003A3D44" w:rsidRPr="0025413D" w:rsidRDefault="003A3D44" w:rsidP="0025413D">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3A3D44" w:rsidRDefault="003A3D44" w:rsidP="003A3D44">
      <w:pPr>
        <w:spacing w:before="100" w:beforeAutospacing="1" w:after="100" w:afterAutospacing="1" w:line="240" w:lineRule="auto"/>
        <w:rPr>
          <w:rFonts w:ascii="Times New Roman" w:eastAsia="Times New Roman" w:hAnsi="Times New Roman" w:cs="Times New Roman"/>
          <w:sz w:val="24"/>
          <w:szCs w:val="24"/>
          <w:lang w:eastAsia="en-IN"/>
        </w:rPr>
      </w:pPr>
    </w:p>
    <w:p w:rsidR="003A3D44" w:rsidRDefault="003A3D44" w:rsidP="003A3D44">
      <w:pPr>
        <w:spacing w:before="100" w:beforeAutospacing="1" w:after="100" w:afterAutospacing="1" w:line="240" w:lineRule="auto"/>
        <w:rPr>
          <w:rFonts w:ascii="Times New Roman" w:eastAsia="Times New Roman" w:hAnsi="Times New Roman" w:cs="Times New Roman"/>
          <w:sz w:val="24"/>
          <w:szCs w:val="24"/>
          <w:lang w:eastAsia="en-IN"/>
        </w:rPr>
      </w:pPr>
    </w:p>
    <w:p w:rsidR="003A3D44" w:rsidRDefault="003A3D44" w:rsidP="003A3D44">
      <w:pPr>
        <w:spacing w:before="100" w:beforeAutospacing="1" w:after="100" w:afterAutospacing="1" w:line="240" w:lineRule="auto"/>
        <w:rPr>
          <w:rFonts w:ascii="Times New Roman" w:eastAsia="Times New Roman" w:hAnsi="Times New Roman" w:cs="Times New Roman"/>
          <w:sz w:val="24"/>
          <w:szCs w:val="24"/>
          <w:lang w:eastAsia="en-IN"/>
        </w:rPr>
      </w:pPr>
    </w:p>
    <w:p w:rsidR="003A3D44" w:rsidRDefault="003A3D44" w:rsidP="003A3D44">
      <w:pPr>
        <w:spacing w:before="100" w:beforeAutospacing="1" w:after="100" w:afterAutospacing="1" w:line="240" w:lineRule="auto"/>
        <w:rPr>
          <w:rFonts w:ascii="Times New Roman" w:eastAsia="Times New Roman" w:hAnsi="Times New Roman" w:cs="Times New Roman"/>
          <w:sz w:val="24"/>
          <w:szCs w:val="24"/>
          <w:lang w:eastAsia="en-IN"/>
        </w:rPr>
      </w:pPr>
    </w:p>
    <w:p w:rsidR="003A3D44" w:rsidRDefault="003A3D44" w:rsidP="003A3D44">
      <w:pPr>
        <w:spacing w:before="100" w:beforeAutospacing="1" w:after="100" w:afterAutospacing="1" w:line="240" w:lineRule="auto"/>
        <w:rPr>
          <w:rFonts w:ascii="Times New Roman" w:eastAsia="Times New Roman" w:hAnsi="Times New Roman" w:cs="Times New Roman"/>
          <w:sz w:val="24"/>
          <w:szCs w:val="24"/>
          <w:lang w:eastAsia="en-IN"/>
        </w:rPr>
      </w:pPr>
    </w:p>
    <w:p w:rsidR="003A3D44" w:rsidRDefault="003A3D44" w:rsidP="003A3D44">
      <w:pPr>
        <w:spacing w:before="100" w:beforeAutospacing="1" w:after="100" w:afterAutospacing="1" w:line="240" w:lineRule="auto"/>
        <w:rPr>
          <w:rFonts w:ascii="Times New Roman" w:eastAsia="Times New Roman" w:hAnsi="Times New Roman" w:cs="Times New Roman"/>
          <w:sz w:val="24"/>
          <w:szCs w:val="24"/>
          <w:lang w:eastAsia="en-IN"/>
        </w:rPr>
      </w:pPr>
    </w:p>
    <w:p w:rsidR="003A3D44" w:rsidRDefault="003A3D44" w:rsidP="003A3D44">
      <w:pPr>
        <w:spacing w:before="100" w:beforeAutospacing="1" w:after="100" w:afterAutospacing="1" w:line="240" w:lineRule="auto"/>
        <w:rPr>
          <w:rFonts w:ascii="Times New Roman" w:eastAsia="Times New Roman" w:hAnsi="Times New Roman" w:cs="Times New Roman"/>
          <w:sz w:val="24"/>
          <w:szCs w:val="24"/>
          <w:lang w:eastAsia="en-IN"/>
        </w:rPr>
      </w:pPr>
    </w:p>
    <w:p w:rsidR="003A3D44" w:rsidRDefault="003A3D44" w:rsidP="003A3D44">
      <w:pPr>
        <w:spacing w:before="100" w:beforeAutospacing="1" w:after="100" w:afterAutospacing="1" w:line="240" w:lineRule="auto"/>
        <w:rPr>
          <w:rFonts w:ascii="Times New Roman" w:eastAsia="Times New Roman" w:hAnsi="Times New Roman" w:cs="Times New Roman"/>
          <w:sz w:val="24"/>
          <w:szCs w:val="24"/>
          <w:lang w:eastAsia="en-IN"/>
        </w:rPr>
      </w:pPr>
    </w:p>
    <w:p w:rsidR="003A3D44" w:rsidRDefault="003A3D44" w:rsidP="003A3D44">
      <w:pPr>
        <w:pStyle w:val="Heading2"/>
        <w:rPr>
          <w:color w:val="000000" w:themeColor="text1"/>
        </w:rPr>
      </w:pPr>
      <w:r>
        <w:rPr>
          <w:rStyle w:val="Strong"/>
          <w:bCs w:val="0"/>
          <w:color w:val="000000" w:themeColor="text1"/>
        </w:rPr>
        <w:t xml:space="preserve">Facts of the Case </w:t>
      </w:r>
    </w:p>
    <w:p w:rsidR="003A3D44" w:rsidRDefault="003A3D44" w:rsidP="003A3D44">
      <w:pPr>
        <w:pStyle w:val="NormalWeb"/>
      </w:pPr>
      <w:r>
        <w:rPr>
          <w:rStyle w:val="Emphasis"/>
        </w:rPr>
        <w:t xml:space="preserve">May it please the Court, with due permission of the court the council would like to brief the bench with the facts of the </w:t>
      </w:r>
      <w:proofErr w:type="gramStart"/>
      <w:r>
        <w:rPr>
          <w:rStyle w:val="Emphasis"/>
        </w:rPr>
        <w:t>case :</w:t>
      </w:r>
      <w:proofErr w:type="gramEnd"/>
    </w:p>
    <w:p w:rsidR="003A3D44" w:rsidRDefault="003A3D44" w:rsidP="003A3D4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In </w:t>
      </w:r>
      <w:r>
        <w:rPr>
          <w:rFonts w:ascii="Times New Roman" w:eastAsia="Times New Roman" w:hAnsi="Times New Roman" w:cs="Times New Roman"/>
          <w:b/>
          <w:bCs/>
          <w:sz w:val="24"/>
          <w:szCs w:val="24"/>
          <w:lang w:eastAsia="en-IN"/>
        </w:rPr>
        <w:t>January 2023</w:t>
      </w:r>
      <w:r>
        <w:rPr>
          <w:rFonts w:ascii="Times New Roman" w:eastAsia="Times New Roman" w:hAnsi="Times New Roman" w:cs="Times New Roman"/>
          <w:sz w:val="24"/>
          <w:szCs w:val="24"/>
          <w:lang w:eastAsia="en-IN"/>
        </w:rPr>
        <w:t xml:space="preserve">, the State of Wellesley issued an </w:t>
      </w:r>
      <w:r>
        <w:rPr>
          <w:rFonts w:ascii="Times New Roman" w:eastAsia="Times New Roman" w:hAnsi="Times New Roman" w:cs="Times New Roman"/>
          <w:b/>
          <w:bCs/>
          <w:sz w:val="24"/>
          <w:szCs w:val="24"/>
          <w:lang w:eastAsia="en-IN"/>
        </w:rPr>
        <w:t>E-tender</w:t>
      </w:r>
      <w:r>
        <w:rPr>
          <w:rFonts w:ascii="Times New Roman" w:eastAsia="Times New Roman" w:hAnsi="Times New Roman" w:cs="Times New Roman"/>
          <w:sz w:val="24"/>
          <w:szCs w:val="24"/>
          <w:lang w:eastAsia="en-IN"/>
        </w:rPr>
        <w:t xml:space="preserve"> for </w:t>
      </w:r>
      <w:proofErr w:type="gramStart"/>
      <w:r>
        <w:rPr>
          <w:rFonts w:ascii="Times New Roman" w:eastAsia="Times New Roman" w:hAnsi="Times New Roman" w:cs="Times New Roman"/>
          <w:sz w:val="24"/>
          <w:szCs w:val="24"/>
          <w:lang w:eastAsia="en-IN"/>
        </w:rPr>
        <w:t>a</w:t>
      </w:r>
      <w:proofErr w:type="gramEnd"/>
      <w:r>
        <w:rPr>
          <w:rFonts w:ascii="Times New Roman" w:eastAsia="Times New Roman" w:hAnsi="Times New Roman" w:cs="Times New Roman"/>
          <w:sz w:val="24"/>
          <w:szCs w:val="24"/>
          <w:lang w:eastAsia="en-IN"/>
        </w:rPr>
        <w:t xml:space="preserve"> ₹850 crore Multi-Specialty Hospital under the </w:t>
      </w:r>
      <w:r>
        <w:rPr>
          <w:rFonts w:ascii="Times New Roman" w:eastAsia="Times New Roman" w:hAnsi="Times New Roman" w:cs="Times New Roman"/>
          <w:b/>
          <w:bCs/>
          <w:sz w:val="24"/>
          <w:szCs w:val="24"/>
          <w:lang w:eastAsia="en-IN"/>
        </w:rPr>
        <w:t>PPP (BOT)</w:t>
      </w:r>
      <w:r>
        <w:rPr>
          <w:rFonts w:ascii="Times New Roman" w:eastAsia="Times New Roman" w:hAnsi="Times New Roman" w:cs="Times New Roman"/>
          <w:sz w:val="24"/>
          <w:szCs w:val="24"/>
          <w:lang w:eastAsia="en-IN"/>
        </w:rPr>
        <w:t xml:space="preserve"> model. The State offered </w:t>
      </w:r>
      <w:r>
        <w:rPr>
          <w:rFonts w:ascii="Times New Roman" w:eastAsia="Times New Roman" w:hAnsi="Times New Roman" w:cs="Times New Roman"/>
          <w:b/>
          <w:bCs/>
          <w:sz w:val="24"/>
          <w:szCs w:val="24"/>
          <w:lang w:eastAsia="en-IN"/>
        </w:rPr>
        <w:t>₹300 crores support</w:t>
      </w:r>
      <w:r>
        <w:rPr>
          <w:rFonts w:ascii="Times New Roman" w:eastAsia="Times New Roman" w:hAnsi="Times New Roman" w:cs="Times New Roman"/>
          <w:sz w:val="24"/>
          <w:szCs w:val="24"/>
          <w:lang w:eastAsia="en-IN"/>
        </w:rPr>
        <w:t xml:space="preserve"> (40-year concessional land lease + upfront subsidy) with a </w:t>
      </w:r>
      <w:r>
        <w:rPr>
          <w:rFonts w:ascii="Times New Roman" w:eastAsia="Times New Roman" w:hAnsi="Times New Roman" w:cs="Times New Roman"/>
          <w:b/>
          <w:bCs/>
          <w:sz w:val="24"/>
          <w:szCs w:val="24"/>
          <w:lang w:eastAsia="en-IN"/>
        </w:rPr>
        <w:t>30-year concession period</w:t>
      </w:r>
      <w:r>
        <w:rPr>
          <w:rFonts w:ascii="Times New Roman" w:eastAsia="Times New Roman" w:hAnsi="Times New Roman" w:cs="Times New Roman"/>
          <w:sz w:val="24"/>
          <w:szCs w:val="24"/>
          <w:lang w:eastAsia="en-IN"/>
        </w:rPr>
        <w:t>.</w:t>
      </w:r>
    </w:p>
    <w:p w:rsidR="003A3D44" w:rsidRDefault="003A3D44" w:rsidP="003A3D4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tender expected completion in </w:t>
      </w:r>
      <w:r>
        <w:rPr>
          <w:rFonts w:ascii="Times New Roman" w:eastAsia="Times New Roman" w:hAnsi="Times New Roman" w:cs="Times New Roman"/>
          <w:b/>
          <w:bCs/>
          <w:sz w:val="24"/>
          <w:szCs w:val="24"/>
          <w:lang w:eastAsia="en-IN"/>
        </w:rPr>
        <w:t>5 years</w:t>
      </w:r>
      <w:r>
        <w:rPr>
          <w:rFonts w:ascii="Times New Roman" w:eastAsia="Times New Roman" w:hAnsi="Times New Roman" w:cs="Times New Roman"/>
          <w:sz w:val="24"/>
          <w:szCs w:val="24"/>
          <w:lang w:eastAsia="en-IN"/>
        </w:rPr>
        <w:t xml:space="preserve"> and employment of </w:t>
      </w:r>
      <w:r>
        <w:rPr>
          <w:rFonts w:ascii="Times New Roman" w:eastAsia="Times New Roman" w:hAnsi="Times New Roman" w:cs="Times New Roman"/>
          <w:b/>
          <w:bCs/>
          <w:sz w:val="24"/>
          <w:szCs w:val="24"/>
          <w:lang w:eastAsia="en-IN"/>
        </w:rPr>
        <w:t>2,500 persons</w:t>
      </w:r>
      <w:r>
        <w:rPr>
          <w:rFonts w:ascii="Times New Roman" w:eastAsia="Times New Roman" w:hAnsi="Times New Roman" w:cs="Times New Roman"/>
          <w:sz w:val="24"/>
          <w:szCs w:val="24"/>
          <w:lang w:eastAsia="en-IN"/>
        </w:rPr>
        <w:t>, aiming to strengthen healthcare infrastructure in the post-COVID scenario.</w:t>
      </w:r>
    </w:p>
    <w:p w:rsidR="003A3D44" w:rsidRDefault="003A3D44" w:rsidP="003A3D44">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3A3D44" w:rsidRDefault="003A3D44" w:rsidP="003A3D4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Bidders:</w:t>
      </w:r>
    </w:p>
    <w:p w:rsidR="003A3D44" w:rsidRDefault="003A3D44" w:rsidP="003A3D4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b/>
          <w:bCs/>
          <w:sz w:val="24"/>
          <w:szCs w:val="24"/>
          <w:lang w:eastAsia="en-IN"/>
        </w:rPr>
        <w:t>Medi</w:t>
      </w:r>
      <w:proofErr w:type="spellEnd"/>
      <w:r>
        <w:rPr>
          <w:rFonts w:ascii="Times New Roman" w:eastAsia="Times New Roman" w:hAnsi="Times New Roman" w:cs="Times New Roman"/>
          <w:b/>
          <w:bCs/>
          <w:sz w:val="24"/>
          <w:szCs w:val="24"/>
          <w:lang w:eastAsia="en-IN"/>
        </w:rPr>
        <w:t xml:space="preserve"> Health from here after to be </w:t>
      </w:r>
      <w:proofErr w:type="spellStart"/>
      <w:r>
        <w:rPr>
          <w:rFonts w:ascii="Times New Roman" w:eastAsia="Times New Roman" w:hAnsi="Times New Roman" w:cs="Times New Roman"/>
          <w:b/>
          <w:bCs/>
          <w:sz w:val="24"/>
          <w:szCs w:val="24"/>
          <w:lang w:eastAsia="en-IN"/>
        </w:rPr>
        <w:t>reffered</w:t>
      </w:r>
      <w:proofErr w:type="spellEnd"/>
      <w:r>
        <w:rPr>
          <w:rFonts w:ascii="Times New Roman" w:eastAsia="Times New Roman" w:hAnsi="Times New Roman" w:cs="Times New Roman"/>
          <w:b/>
          <w:bCs/>
          <w:sz w:val="24"/>
          <w:szCs w:val="24"/>
          <w:lang w:eastAsia="en-IN"/>
        </w:rPr>
        <w:t xml:space="preserve"> as L1</w:t>
      </w:r>
      <w:r>
        <w:rPr>
          <w:rFonts w:ascii="Times New Roman" w:eastAsia="Times New Roman" w:hAnsi="Times New Roman" w:cs="Times New Roman"/>
          <w:sz w:val="24"/>
          <w:szCs w:val="24"/>
          <w:lang w:eastAsia="en-IN"/>
        </w:rPr>
        <w:t xml:space="preserve"> – had proposed ₹790 crores, 4.5 </w:t>
      </w:r>
      <w:proofErr w:type="gramStart"/>
      <w:r>
        <w:rPr>
          <w:rFonts w:ascii="Times New Roman" w:eastAsia="Times New Roman" w:hAnsi="Times New Roman" w:cs="Times New Roman"/>
          <w:sz w:val="24"/>
          <w:szCs w:val="24"/>
          <w:lang w:eastAsia="en-IN"/>
        </w:rPr>
        <w:t>years</w:t>
      </w:r>
      <w:proofErr w:type="gramEnd"/>
      <w:r>
        <w:rPr>
          <w:rFonts w:ascii="Times New Roman" w:eastAsia="Times New Roman" w:hAnsi="Times New Roman" w:cs="Times New Roman"/>
          <w:sz w:val="24"/>
          <w:szCs w:val="24"/>
          <w:lang w:eastAsia="en-IN"/>
        </w:rPr>
        <w:t xml:space="preserve"> project completion time &amp; 45% local employment. Having expertise in hospital projects including AIIMS extension.</w:t>
      </w:r>
    </w:p>
    <w:p w:rsidR="003A3D44" w:rsidRDefault="003A3D44" w:rsidP="003A3D44">
      <w:pPr>
        <w:spacing w:before="100" w:beforeAutospacing="1" w:after="100" w:afterAutospacing="1" w:line="240" w:lineRule="auto"/>
        <w:ind w:left="144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All India Institute </w:t>
      </w:r>
      <w:proofErr w:type="gramStart"/>
      <w:r>
        <w:rPr>
          <w:rFonts w:ascii="Times New Roman" w:eastAsia="Times New Roman" w:hAnsi="Times New Roman" w:cs="Times New Roman"/>
          <w:sz w:val="24"/>
          <w:szCs w:val="24"/>
          <w:lang w:eastAsia="en-IN"/>
        </w:rPr>
        <w:t>Of</w:t>
      </w:r>
      <w:proofErr w:type="gramEnd"/>
      <w:r>
        <w:rPr>
          <w:rFonts w:ascii="Times New Roman" w:eastAsia="Times New Roman" w:hAnsi="Times New Roman" w:cs="Times New Roman"/>
          <w:sz w:val="24"/>
          <w:szCs w:val="24"/>
          <w:lang w:eastAsia="en-IN"/>
        </w:rPr>
        <w:t xml:space="preserve"> Medical Sciences Delhi, a </w:t>
      </w:r>
      <w:proofErr w:type="spellStart"/>
      <w:r>
        <w:rPr>
          <w:rFonts w:ascii="Times New Roman" w:eastAsia="Times New Roman" w:hAnsi="Times New Roman" w:cs="Times New Roman"/>
          <w:sz w:val="24"/>
          <w:szCs w:val="24"/>
          <w:lang w:eastAsia="en-IN"/>
        </w:rPr>
        <w:t>renowed</w:t>
      </w:r>
      <w:proofErr w:type="spellEnd"/>
      <w:r>
        <w:rPr>
          <w:rFonts w:ascii="Times New Roman" w:eastAsia="Times New Roman" w:hAnsi="Times New Roman" w:cs="Times New Roman"/>
          <w:sz w:val="24"/>
          <w:szCs w:val="24"/>
          <w:lang w:eastAsia="en-IN"/>
        </w:rPr>
        <w:t xml:space="preserve"> &amp; prestigious institution in itself.</w:t>
      </w:r>
    </w:p>
    <w:p w:rsidR="003A3D44" w:rsidRDefault="003A3D44" w:rsidP="003A3D4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Care Well from here after to be </w:t>
      </w:r>
      <w:proofErr w:type="spellStart"/>
      <w:r>
        <w:rPr>
          <w:rFonts w:ascii="Times New Roman" w:eastAsia="Times New Roman" w:hAnsi="Times New Roman" w:cs="Times New Roman"/>
          <w:b/>
          <w:bCs/>
          <w:sz w:val="24"/>
          <w:szCs w:val="24"/>
          <w:lang w:eastAsia="en-IN"/>
        </w:rPr>
        <w:t>reffered</w:t>
      </w:r>
      <w:proofErr w:type="spellEnd"/>
      <w:r>
        <w:rPr>
          <w:rFonts w:ascii="Times New Roman" w:eastAsia="Times New Roman" w:hAnsi="Times New Roman" w:cs="Times New Roman"/>
          <w:b/>
          <w:bCs/>
          <w:sz w:val="24"/>
          <w:szCs w:val="24"/>
          <w:lang w:eastAsia="en-IN"/>
        </w:rPr>
        <w:t xml:space="preserve"> as L2</w:t>
      </w:r>
      <w:r>
        <w:rPr>
          <w:rFonts w:ascii="Times New Roman" w:eastAsia="Times New Roman" w:hAnsi="Times New Roman" w:cs="Times New Roman"/>
          <w:sz w:val="24"/>
          <w:szCs w:val="24"/>
          <w:lang w:eastAsia="en-IN"/>
        </w:rPr>
        <w:t xml:space="preserve"> – ₹815 crores, 6 </w:t>
      </w:r>
      <w:proofErr w:type="gramStart"/>
      <w:r>
        <w:rPr>
          <w:rFonts w:ascii="Times New Roman" w:eastAsia="Times New Roman" w:hAnsi="Times New Roman" w:cs="Times New Roman"/>
          <w:sz w:val="24"/>
          <w:szCs w:val="24"/>
          <w:lang w:eastAsia="en-IN"/>
        </w:rPr>
        <w:t>years</w:t>
      </w:r>
      <w:proofErr w:type="gramEnd"/>
      <w:r>
        <w:rPr>
          <w:rFonts w:ascii="Times New Roman" w:eastAsia="Times New Roman" w:hAnsi="Times New Roman" w:cs="Times New Roman"/>
          <w:sz w:val="24"/>
          <w:szCs w:val="24"/>
          <w:lang w:eastAsia="en-IN"/>
        </w:rPr>
        <w:t xml:space="preserve"> project completion time, 80% local employment. Having expertise in Infra projects.</w:t>
      </w:r>
    </w:p>
    <w:p w:rsidR="003A3D44" w:rsidRDefault="003A3D44" w:rsidP="003A3D4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Life Line (L3)</w:t>
      </w:r>
      <w:r>
        <w:rPr>
          <w:rFonts w:ascii="Times New Roman" w:eastAsia="Times New Roman" w:hAnsi="Times New Roman" w:cs="Times New Roman"/>
          <w:sz w:val="24"/>
          <w:szCs w:val="24"/>
          <w:lang w:eastAsia="en-IN"/>
        </w:rPr>
        <w:t xml:space="preserve"> – had proposed ₹875 crores, 5 </w:t>
      </w:r>
      <w:proofErr w:type="gramStart"/>
      <w:r>
        <w:rPr>
          <w:rFonts w:ascii="Times New Roman" w:eastAsia="Times New Roman" w:hAnsi="Times New Roman" w:cs="Times New Roman"/>
          <w:sz w:val="24"/>
          <w:szCs w:val="24"/>
          <w:lang w:eastAsia="en-IN"/>
        </w:rPr>
        <w:t>years</w:t>
      </w:r>
      <w:proofErr w:type="gramEnd"/>
      <w:r>
        <w:rPr>
          <w:rFonts w:ascii="Times New Roman" w:eastAsia="Times New Roman" w:hAnsi="Times New Roman" w:cs="Times New Roman"/>
          <w:sz w:val="24"/>
          <w:szCs w:val="24"/>
          <w:lang w:eastAsia="en-IN"/>
        </w:rPr>
        <w:t xml:space="preserve"> project completion time, 60% local employment. With expertise in hospital projects indeed.</w:t>
      </w:r>
    </w:p>
    <w:p w:rsidR="003A3D44" w:rsidRDefault="003A3D44" w:rsidP="003A3D44">
      <w:pPr>
        <w:spacing w:before="100" w:beforeAutospacing="1" w:after="100" w:afterAutospacing="1" w:line="240" w:lineRule="auto"/>
        <w:ind w:left="1440"/>
        <w:rPr>
          <w:rFonts w:ascii="Times New Roman" w:eastAsia="Times New Roman" w:hAnsi="Times New Roman" w:cs="Times New Roman"/>
          <w:sz w:val="24"/>
          <w:szCs w:val="24"/>
          <w:lang w:eastAsia="en-IN"/>
        </w:rPr>
      </w:pPr>
    </w:p>
    <w:p w:rsidR="003A3D44" w:rsidRDefault="003A3D44" w:rsidP="003A3D4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On </w:t>
      </w:r>
      <w:r>
        <w:rPr>
          <w:rFonts w:ascii="Times New Roman" w:eastAsia="Times New Roman" w:hAnsi="Times New Roman" w:cs="Times New Roman"/>
          <w:b/>
          <w:bCs/>
          <w:sz w:val="24"/>
          <w:szCs w:val="24"/>
          <w:lang w:eastAsia="en-IN"/>
        </w:rPr>
        <w:t>10 May 2023</w:t>
      </w:r>
      <w:r>
        <w:rPr>
          <w:rFonts w:ascii="Times New Roman" w:eastAsia="Times New Roman" w:hAnsi="Times New Roman" w:cs="Times New Roman"/>
          <w:sz w:val="24"/>
          <w:szCs w:val="24"/>
          <w:lang w:eastAsia="en-IN"/>
        </w:rPr>
        <w:t xml:space="preserve">, the </w:t>
      </w:r>
      <w:r>
        <w:rPr>
          <w:rFonts w:ascii="Times New Roman" w:eastAsia="Times New Roman" w:hAnsi="Times New Roman" w:cs="Times New Roman"/>
          <w:b/>
          <w:bCs/>
          <w:sz w:val="24"/>
          <w:szCs w:val="24"/>
          <w:lang w:eastAsia="en-IN"/>
        </w:rPr>
        <w:t>Tender Evaluation Committee (TEC)</w:t>
      </w:r>
      <w:r>
        <w:rPr>
          <w:rFonts w:ascii="Times New Roman" w:eastAsia="Times New Roman" w:hAnsi="Times New Roman" w:cs="Times New Roman"/>
          <w:sz w:val="24"/>
          <w:szCs w:val="24"/>
          <w:lang w:eastAsia="en-IN"/>
        </w:rPr>
        <w:t xml:space="preserve"> ranked </w:t>
      </w:r>
      <w:proofErr w:type="spellStart"/>
      <w:r>
        <w:rPr>
          <w:rFonts w:ascii="Times New Roman" w:eastAsia="Times New Roman" w:hAnsi="Times New Roman" w:cs="Times New Roman"/>
          <w:sz w:val="24"/>
          <w:szCs w:val="24"/>
          <w:lang w:eastAsia="en-IN"/>
        </w:rPr>
        <w:t>Medi</w:t>
      </w:r>
      <w:proofErr w:type="spellEnd"/>
      <w:r>
        <w:rPr>
          <w:rFonts w:ascii="Times New Roman" w:eastAsia="Times New Roman" w:hAnsi="Times New Roman" w:cs="Times New Roman"/>
          <w:sz w:val="24"/>
          <w:szCs w:val="24"/>
          <w:lang w:eastAsia="en-IN"/>
        </w:rPr>
        <w:t xml:space="preserve"> Health as L1 &amp; Care well as L2. Based on the tender criteria.</w:t>
      </w:r>
    </w:p>
    <w:p w:rsidR="003A3D44" w:rsidRDefault="003A3D44" w:rsidP="003A3D4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r>
        <w:rPr>
          <w:rFonts w:ascii="Times New Roman" w:eastAsia="Times New Roman" w:hAnsi="Times New Roman" w:cs="Times New Roman"/>
          <w:sz w:val="24"/>
          <w:szCs w:val="24"/>
          <w:lang w:eastAsia="en-IN"/>
        </w:rPr>
        <w:t xml:space="preserve">On </w:t>
      </w:r>
      <w:r>
        <w:rPr>
          <w:rFonts w:ascii="Times New Roman" w:eastAsia="Times New Roman" w:hAnsi="Times New Roman" w:cs="Times New Roman"/>
          <w:b/>
          <w:bCs/>
          <w:sz w:val="24"/>
          <w:szCs w:val="24"/>
          <w:lang w:eastAsia="en-IN"/>
        </w:rPr>
        <w:t>20 June 2023</w:t>
      </w:r>
      <w:r>
        <w:rPr>
          <w:rFonts w:ascii="Times New Roman" w:eastAsia="Times New Roman" w:hAnsi="Times New Roman" w:cs="Times New Roman"/>
          <w:sz w:val="24"/>
          <w:szCs w:val="24"/>
          <w:lang w:eastAsia="en-IN"/>
        </w:rPr>
        <w:t xml:space="preserve">, the </w:t>
      </w:r>
      <w:r>
        <w:rPr>
          <w:rFonts w:ascii="Times New Roman" w:eastAsia="Times New Roman" w:hAnsi="Times New Roman" w:cs="Times New Roman"/>
          <w:b/>
          <w:bCs/>
          <w:sz w:val="24"/>
          <w:szCs w:val="24"/>
          <w:lang w:eastAsia="en-IN"/>
        </w:rPr>
        <w:t>State Cabinet</w:t>
      </w:r>
      <w:r>
        <w:rPr>
          <w:rFonts w:ascii="Times New Roman" w:eastAsia="Times New Roman" w:hAnsi="Times New Roman" w:cs="Times New Roman"/>
          <w:sz w:val="24"/>
          <w:szCs w:val="24"/>
          <w:lang w:eastAsia="en-IN"/>
        </w:rPr>
        <w:t xml:space="preserve">, invoking </w:t>
      </w:r>
      <w:r>
        <w:rPr>
          <w:rFonts w:ascii="Times New Roman" w:eastAsia="Times New Roman" w:hAnsi="Times New Roman" w:cs="Times New Roman"/>
          <w:b/>
          <w:bCs/>
          <w:sz w:val="24"/>
          <w:szCs w:val="24"/>
          <w:lang w:eastAsia="en-IN"/>
        </w:rPr>
        <w:t>Clause 12.4 (absolute discretion)</w:t>
      </w:r>
      <w:r>
        <w:rPr>
          <w:rFonts w:ascii="Times New Roman" w:eastAsia="Times New Roman" w:hAnsi="Times New Roman" w:cs="Times New Roman"/>
          <w:sz w:val="24"/>
          <w:szCs w:val="24"/>
          <w:lang w:eastAsia="en-IN"/>
        </w:rPr>
        <w:t xml:space="preserve">, overruled the TEC and awarded the contract to Care Well, citing its </w:t>
      </w:r>
      <w:r>
        <w:rPr>
          <w:rFonts w:ascii="Times New Roman" w:eastAsia="Times New Roman" w:hAnsi="Times New Roman" w:cs="Times New Roman"/>
          <w:b/>
          <w:bCs/>
          <w:sz w:val="24"/>
          <w:szCs w:val="24"/>
          <w:lang w:eastAsia="en-IN"/>
        </w:rPr>
        <w:t>higher local employment (80%)</w:t>
      </w:r>
      <w:r>
        <w:rPr>
          <w:rFonts w:ascii="Times New Roman" w:eastAsia="Times New Roman" w:hAnsi="Times New Roman" w:cs="Times New Roman"/>
          <w:sz w:val="24"/>
          <w:szCs w:val="24"/>
          <w:lang w:eastAsia="en-IN"/>
        </w:rPr>
        <w:t>.</w:t>
      </w:r>
    </w:p>
    <w:p w:rsidR="003A3D44" w:rsidRDefault="003A3D44" w:rsidP="003A3D4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Employment generation was not a pre-declared decisive criterion</w:t>
      </w:r>
      <w:r>
        <w:rPr>
          <w:rFonts w:ascii="Times New Roman" w:eastAsia="Times New Roman" w:hAnsi="Times New Roman" w:cs="Times New Roman"/>
          <w:sz w:val="24"/>
          <w:szCs w:val="24"/>
          <w:lang w:eastAsia="en-IN"/>
        </w:rPr>
        <w:t>, but introduced at Cabinet stage under a claimed “policy preference.”</w:t>
      </w:r>
    </w:p>
    <w:p w:rsidR="003A3D44" w:rsidRDefault="003A3D44" w:rsidP="003A3D4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On </w:t>
      </w:r>
      <w:r>
        <w:rPr>
          <w:rFonts w:ascii="Times New Roman" w:eastAsia="Times New Roman" w:hAnsi="Times New Roman" w:cs="Times New Roman"/>
          <w:b/>
          <w:bCs/>
          <w:sz w:val="24"/>
          <w:szCs w:val="24"/>
          <w:lang w:eastAsia="en-IN"/>
        </w:rPr>
        <w:t>15 July 2023</w:t>
      </w:r>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Medi</w:t>
      </w:r>
      <w:proofErr w:type="spellEnd"/>
      <w:r>
        <w:rPr>
          <w:rFonts w:ascii="Times New Roman" w:eastAsia="Times New Roman" w:hAnsi="Times New Roman" w:cs="Times New Roman"/>
          <w:sz w:val="24"/>
          <w:szCs w:val="24"/>
          <w:lang w:eastAsia="en-IN"/>
        </w:rPr>
        <w:t xml:space="preserve"> Health filed a </w:t>
      </w:r>
      <w:r>
        <w:rPr>
          <w:rFonts w:ascii="Times New Roman" w:eastAsia="Times New Roman" w:hAnsi="Times New Roman" w:cs="Times New Roman"/>
          <w:b/>
          <w:bCs/>
          <w:sz w:val="24"/>
          <w:szCs w:val="24"/>
          <w:lang w:eastAsia="en-IN"/>
        </w:rPr>
        <w:t>writ petition under Article 226</w:t>
      </w:r>
      <w:r>
        <w:rPr>
          <w:rFonts w:ascii="Times New Roman" w:eastAsia="Times New Roman" w:hAnsi="Times New Roman" w:cs="Times New Roman"/>
          <w:sz w:val="24"/>
          <w:szCs w:val="24"/>
          <w:lang w:eastAsia="en-IN"/>
        </w:rPr>
        <w:t xml:space="preserve">, alleging arbitrariness, violation of </w:t>
      </w:r>
      <w:r>
        <w:rPr>
          <w:rFonts w:ascii="Times New Roman" w:eastAsia="Times New Roman" w:hAnsi="Times New Roman" w:cs="Times New Roman"/>
          <w:b/>
          <w:bCs/>
          <w:sz w:val="24"/>
          <w:szCs w:val="24"/>
          <w:lang w:eastAsia="en-IN"/>
        </w:rPr>
        <w:t>Articles 14 &amp; 19(1)(g)</w:t>
      </w:r>
      <w:r>
        <w:rPr>
          <w:rFonts w:ascii="Times New Roman" w:eastAsia="Times New Roman" w:hAnsi="Times New Roman" w:cs="Times New Roman"/>
          <w:sz w:val="24"/>
          <w:szCs w:val="24"/>
          <w:lang w:eastAsia="en-IN"/>
        </w:rPr>
        <w:t xml:space="preserve">, and illegality of Clause 12.4 under </w:t>
      </w:r>
      <w:r>
        <w:rPr>
          <w:rFonts w:ascii="Times New Roman" w:eastAsia="Times New Roman" w:hAnsi="Times New Roman" w:cs="Times New Roman"/>
          <w:b/>
          <w:bCs/>
          <w:sz w:val="24"/>
          <w:szCs w:val="24"/>
          <w:lang w:eastAsia="en-IN"/>
        </w:rPr>
        <w:t>Section 23, Contract Act</w:t>
      </w:r>
      <w:r>
        <w:rPr>
          <w:rFonts w:ascii="Times New Roman" w:eastAsia="Times New Roman" w:hAnsi="Times New Roman" w:cs="Times New Roman"/>
          <w:sz w:val="24"/>
          <w:szCs w:val="24"/>
          <w:lang w:eastAsia="en-IN"/>
        </w:rPr>
        <w:t>.</w:t>
      </w:r>
    </w:p>
    <w:p w:rsidR="003A3D44" w:rsidRDefault="003A3D44" w:rsidP="003A3D4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On </w:t>
      </w:r>
      <w:r>
        <w:rPr>
          <w:rFonts w:ascii="Times New Roman" w:eastAsia="Times New Roman" w:hAnsi="Times New Roman" w:cs="Times New Roman"/>
          <w:b/>
          <w:bCs/>
          <w:sz w:val="24"/>
          <w:szCs w:val="24"/>
          <w:lang w:eastAsia="en-IN"/>
        </w:rPr>
        <w:t>12 September 2023</w:t>
      </w:r>
      <w:r>
        <w:rPr>
          <w:rFonts w:ascii="Times New Roman" w:eastAsia="Times New Roman" w:hAnsi="Times New Roman" w:cs="Times New Roman"/>
          <w:sz w:val="24"/>
          <w:szCs w:val="24"/>
          <w:lang w:eastAsia="en-IN"/>
        </w:rPr>
        <w:t xml:space="preserve">, the </w:t>
      </w:r>
      <w:r>
        <w:rPr>
          <w:rFonts w:ascii="Times New Roman" w:eastAsia="Times New Roman" w:hAnsi="Times New Roman" w:cs="Times New Roman"/>
          <w:b/>
          <w:bCs/>
          <w:sz w:val="24"/>
          <w:szCs w:val="24"/>
          <w:lang w:eastAsia="en-IN"/>
        </w:rPr>
        <w:t>High Court dismissed the petition</w:t>
      </w:r>
      <w:r>
        <w:rPr>
          <w:rFonts w:ascii="Times New Roman" w:eastAsia="Times New Roman" w:hAnsi="Times New Roman" w:cs="Times New Roman"/>
          <w:sz w:val="24"/>
          <w:szCs w:val="24"/>
          <w:lang w:eastAsia="en-IN"/>
        </w:rPr>
        <w:t>, holding that tender decisions fall within State policy discretion.</w:t>
      </w:r>
    </w:p>
    <w:p w:rsidR="003A3D44" w:rsidRDefault="003A3D44" w:rsidP="003A3D4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On </w:t>
      </w:r>
      <w:r>
        <w:rPr>
          <w:rFonts w:ascii="Times New Roman" w:eastAsia="Times New Roman" w:hAnsi="Times New Roman" w:cs="Times New Roman"/>
          <w:b/>
          <w:bCs/>
          <w:sz w:val="24"/>
          <w:szCs w:val="24"/>
          <w:lang w:eastAsia="en-IN"/>
        </w:rPr>
        <w:t>20 October 2023</w:t>
      </w:r>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Medi</w:t>
      </w:r>
      <w:proofErr w:type="spellEnd"/>
      <w:r>
        <w:rPr>
          <w:rFonts w:ascii="Times New Roman" w:eastAsia="Times New Roman" w:hAnsi="Times New Roman" w:cs="Times New Roman"/>
          <w:sz w:val="24"/>
          <w:szCs w:val="24"/>
          <w:lang w:eastAsia="en-IN"/>
        </w:rPr>
        <w:t xml:space="preserve"> Health approached this Hon’ble Court under </w:t>
      </w:r>
      <w:r>
        <w:rPr>
          <w:rFonts w:ascii="Times New Roman" w:eastAsia="Times New Roman" w:hAnsi="Times New Roman" w:cs="Times New Roman"/>
          <w:b/>
          <w:bCs/>
          <w:sz w:val="24"/>
          <w:szCs w:val="24"/>
          <w:lang w:eastAsia="en-IN"/>
        </w:rPr>
        <w:t>Article 136 (SLP)</w:t>
      </w:r>
      <w:r>
        <w:rPr>
          <w:rFonts w:ascii="Times New Roman" w:eastAsia="Times New Roman" w:hAnsi="Times New Roman" w:cs="Times New Roman"/>
          <w:sz w:val="24"/>
          <w:szCs w:val="24"/>
          <w:lang w:eastAsia="en-IN"/>
        </w:rPr>
        <w:t>, re-asserting violation of fundamental rights, arbitrariness, and miscarriage of natural justice &amp; additionally raising the argument of “Legitimate expectation.”</w:t>
      </w:r>
    </w:p>
    <w:p w:rsidR="003A3D44" w:rsidRDefault="003A3D44" w:rsidP="003A3D44">
      <w:pPr>
        <w:pStyle w:val="NormalWeb"/>
        <w:rPr>
          <w:b/>
        </w:rPr>
      </w:pPr>
    </w:p>
    <w:p w:rsidR="003A3D44" w:rsidRDefault="003A3D44" w:rsidP="003A3D44">
      <w:pPr>
        <w:pStyle w:val="NormalWeb"/>
        <w:rPr>
          <w:b/>
        </w:rPr>
      </w:pPr>
    </w:p>
    <w:p w:rsidR="003A3D44" w:rsidRDefault="003A3D44" w:rsidP="003A3D44">
      <w:pPr>
        <w:pStyle w:val="NormalWeb"/>
        <w:rPr>
          <w:b/>
        </w:rPr>
      </w:pPr>
      <w:r>
        <w:rPr>
          <w:b/>
        </w:rPr>
        <w:t xml:space="preserve">With due permission council would like to proceed with the issues  </w:t>
      </w:r>
    </w:p>
    <w:p w:rsidR="003A3D44" w:rsidRDefault="003A3D44" w:rsidP="003A3D44">
      <w:pPr>
        <w:pStyle w:val="NormalWeb"/>
        <w:numPr>
          <w:ilvl w:val="0"/>
          <w:numId w:val="4"/>
        </w:numPr>
      </w:pPr>
      <w:r>
        <w:t>The central issues before this Hon’ble Court are:</w:t>
      </w:r>
    </w:p>
    <w:p w:rsidR="003A3D44" w:rsidRDefault="003A3D44" w:rsidP="003A3D44">
      <w:pPr>
        <w:pStyle w:val="NormalWeb"/>
        <w:ind w:left="720"/>
      </w:pPr>
      <w:r>
        <w:t xml:space="preserve">(I). Whether the rejection of L1 and award to L2 on </w:t>
      </w:r>
      <w:r>
        <w:rPr>
          <w:rStyle w:val="Strong"/>
        </w:rPr>
        <w:t>undisclosed grounds</w:t>
      </w:r>
      <w:r>
        <w:t xml:space="preserve"> is consistent with Articles 14 and 19(1)(g);</w:t>
      </w:r>
    </w:p>
    <w:p w:rsidR="003A3D44" w:rsidRDefault="003A3D44" w:rsidP="003A3D44">
      <w:pPr>
        <w:pStyle w:val="NormalWeb"/>
        <w:ind w:left="720"/>
      </w:pPr>
      <w:r>
        <w:t xml:space="preserve">(II). Whether </w:t>
      </w:r>
      <w:r>
        <w:rPr>
          <w:rStyle w:val="Strong"/>
        </w:rPr>
        <w:t>Clause 12.4</w:t>
      </w:r>
      <w:r>
        <w:t xml:space="preserve">, granting absolute discretion, is void under </w:t>
      </w:r>
      <w:r>
        <w:rPr>
          <w:rStyle w:val="Strong"/>
        </w:rPr>
        <w:t>Section 23 of the Wellesley Contract Act</w:t>
      </w:r>
      <w:r>
        <w:t>.</w:t>
      </w:r>
    </w:p>
    <w:p w:rsidR="003A3D44" w:rsidRDefault="003A3D44" w:rsidP="003A3D44">
      <w:pPr>
        <w:pStyle w:val="NormalWeb"/>
        <w:ind w:left="720"/>
      </w:pPr>
      <w:r>
        <w:t xml:space="preserve">(III). Whether writ jurisdiction under art. 32 &amp; art 226 extends to government contracts involving claims of </w:t>
      </w:r>
      <w:proofErr w:type="spellStart"/>
      <w:r>
        <w:t>arbitarines</w:t>
      </w:r>
      <w:proofErr w:type="spellEnd"/>
      <w:r>
        <w:t>.</w:t>
      </w:r>
    </w:p>
    <w:p w:rsidR="003A3D44" w:rsidRDefault="003A3D44" w:rsidP="003A3D44">
      <w:pPr>
        <w:pStyle w:val="NormalWeb"/>
        <w:ind w:left="720"/>
      </w:pPr>
      <w:r>
        <w:t>(IV). Whether promoting local employment justifies deviation from the “lowest bidder” principle in public contracts.</w:t>
      </w:r>
    </w:p>
    <w:p w:rsidR="003A3D44" w:rsidRDefault="003A3D44" w:rsidP="003A3D44">
      <w:pPr>
        <w:pStyle w:val="NormalWeb"/>
        <w:numPr>
          <w:ilvl w:val="0"/>
          <w:numId w:val="2"/>
        </w:numPr>
      </w:pPr>
      <w:r>
        <w:t>Your Lordships, the Counsel will be addressing Issues 1 and 2, while my Learned Co-Counsel shall address the on Issues 3 &amp; 4.</w:t>
      </w:r>
    </w:p>
    <w:p w:rsidR="003A3D44" w:rsidRDefault="003A3D44" w:rsidP="003A3D44">
      <w:pPr>
        <w:pStyle w:val="NormalWeb"/>
      </w:pPr>
    </w:p>
    <w:p w:rsidR="003A3D44" w:rsidRDefault="003A3D44" w:rsidP="003A3D44">
      <w:pPr>
        <w:pStyle w:val="NormalWeb"/>
      </w:pPr>
    </w:p>
    <w:p w:rsidR="003A3D44" w:rsidRDefault="003A3D44" w:rsidP="003A3D44">
      <w:pPr>
        <w:pStyle w:val="NormalWeb"/>
      </w:pPr>
    </w:p>
    <w:p w:rsidR="003A3D44" w:rsidRDefault="003A3D44" w:rsidP="003A3D44">
      <w:pPr>
        <w:pStyle w:val="NormalWeb"/>
      </w:pPr>
    </w:p>
    <w:p w:rsidR="003A3D44" w:rsidRDefault="003A3D44" w:rsidP="003A3D44">
      <w:pPr>
        <w:pStyle w:val="NormalWeb"/>
      </w:pPr>
    </w:p>
    <w:p w:rsidR="003A3D44" w:rsidRDefault="003A3D44" w:rsidP="003A3D44">
      <w:pPr>
        <w:pStyle w:val="NormalWeb"/>
      </w:pPr>
    </w:p>
    <w:p w:rsidR="003A3D44" w:rsidRDefault="003A3D44" w:rsidP="003A3D44">
      <w:pPr>
        <w:pStyle w:val="NormalWeb"/>
      </w:pPr>
    </w:p>
    <w:p w:rsidR="003A3D44" w:rsidRDefault="003A3D44" w:rsidP="003A3D44">
      <w:pPr>
        <w:pStyle w:val="NormalWeb"/>
      </w:pPr>
    </w:p>
    <w:p w:rsidR="003A3D44" w:rsidRDefault="003A3D44" w:rsidP="003A3D44">
      <w:pPr>
        <w:pStyle w:val="NormalWeb"/>
      </w:pPr>
    </w:p>
    <w:p w:rsidR="003A3D44" w:rsidRDefault="003A3D44" w:rsidP="003A3D44">
      <w:pPr>
        <w:pStyle w:val="NormalWeb"/>
      </w:pPr>
    </w:p>
    <w:p w:rsidR="003A3D44" w:rsidRDefault="003A3D44" w:rsidP="003A3D44">
      <w:pPr>
        <w:pStyle w:val="NormalWeb"/>
      </w:pPr>
    </w:p>
    <w:p w:rsidR="003A3D44" w:rsidRDefault="003A3D44" w:rsidP="003A3D44">
      <w:pPr>
        <w:pStyle w:val="NormalWeb"/>
      </w:pPr>
    </w:p>
    <w:p w:rsidR="003A3D44" w:rsidRDefault="003A3D44" w:rsidP="003A3D44">
      <w:pPr>
        <w:pStyle w:val="NormalWeb"/>
      </w:pPr>
    </w:p>
    <w:p w:rsidR="003A3D44" w:rsidRDefault="003A3D44" w:rsidP="003A3D44">
      <w:pPr>
        <w:pStyle w:val="NormalWeb"/>
      </w:pPr>
    </w:p>
    <w:p w:rsidR="003A3D44" w:rsidRDefault="003A3D44" w:rsidP="003A3D44">
      <w:pPr>
        <w:pStyle w:val="NormalWeb"/>
      </w:pPr>
    </w:p>
    <w:p w:rsidR="003A3D44" w:rsidRDefault="003A3D44" w:rsidP="003A3D44">
      <w:pPr>
        <w:pStyle w:val="NormalWeb"/>
      </w:pPr>
    </w:p>
    <w:p w:rsidR="003A3D44" w:rsidRDefault="003A3D44" w:rsidP="003A3D44">
      <w:pPr>
        <w:pStyle w:val="NormalWeb"/>
      </w:pPr>
    </w:p>
    <w:p w:rsidR="003A3D44" w:rsidRDefault="003A3D44" w:rsidP="003A3D44">
      <w:pPr>
        <w:pStyle w:val="NormalWeb"/>
      </w:pPr>
    </w:p>
    <w:p w:rsidR="003A3D44" w:rsidRDefault="003A3D44" w:rsidP="003A3D44">
      <w:pPr>
        <w:pStyle w:val="NormalWeb"/>
      </w:pPr>
      <w:r>
        <w:t>With due permission, council would like to proceed with the arguments.</w:t>
      </w:r>
    </w:p>
    <w:p w:rsidR="003A3D44" w:rsidRDefault="003A3D44" w:rsidP="003A3D44">
      <w:pPr>
        <w:pStyle w:val="NormalWeb"/>
      </w:pPr>
      <w:r>
        <w:t xml:space="preserve">With Your Lordships’ permission, the Counsel shall now proceed with the arguments on Issue 1. </w:t>
      </w:r>
    </w:p>
    <w:p w:rsidR="003A3D44" w:rsidRDefault="003A3D44" w:rsidP="003A3D44">
      <w:pPr>
        <w:pStyle w:val="NormalWeb"/>
        <w:numPr>
          <w:ilvl w:val="0"/>
          <w:numId w:val="2"/>
        </w:numPr>
      </w:pPr>
      <w:r>
        <w:t xml:space="preserve">Whether the rejection of L1 and award to L2 on </w:t>
      </w:r>
      <w:r>
        <w:rPr>
          <w:rStyle w:val="Strong"/>
        </w:rPr>
        <w:t>undisclosed grounds despite fulfilling</w:t>
      </w:r>
      <w:r>
        <w:t xml:space="preserve"> all conditions is consistent with Articles 14 and 19(1)(g);</w:t>
      </w:r>
    </w:p>
    <w:p w:rsidR="003A3D44" w:rsidRDefault="003A3D44" w:rsidP="003A3D44">
      <w:pPr>
        <w:pStyle w:val="NormalWeb"/>
      </w:pPr>
    </w:p>
    <w:p w:rsidR="003A3D44" w:rsidRDefault="003A3D44" w:rsidP="003A3D44">
      <w:pPr>
        <w:pStyle w:val="NormalWeb"/>
      </w:pPr>
      <w:r>
        <w:t xml:space="preserve">Argument 1 on article </w:t>
      </w:r>
      <w:proofErr w:type="gramStart"/>
      <w:r>
        <w:t>14 :</w:t>
      </w:r>
      <w:proofErr w:type="gramEnd"/>
      <w:r>
        <w:t xml:space="preserve"> </w:t>
      </w:r>
    </w:p>
    <w:p w:rsidR="00B01CE0" w:rsidRDefault="00B01CE0" w:rsidP="00B01CE0">
      <w:pPr>
        <w:pStyle w:val="Heading2"/>
      </w:pPr>
      <w:r>
        <w:rPr>
          <w:rStyle w:val="Strong"/>
          <w:b w:val="0"/>
          <w:bCs w:val="0"/>
        </w:rPr>
        <w:t>1. Articles 14 and 19(1)(g)</w:t>
      </w:r>
    </w:p>
    <w:p w:rsidR="00B01CE0" w:rsidRDefault="00B01CE0" w:rsidP="00B01CE0">
      <w:pPr>
        <w:pStyle w:val="NormalWeb"/>
        <w:numPr>
          <w:ilvl w:val="0"/>
          <w:numId w:val="19"/>
        </w:numPr>
      </w:pPr>
      <w:r>
        <w:t xml:space="preserve">My learned friend has argued arbitrariness. But, Your Lordships, </w:t>
      </w:r>
      <w:r>
        <w:rPr>
          <w:rStyle w:val="Strong"/>
        </w:rPr>
        <w:t>equality before law does not mean identical treatment in every situation</w:t>
      </w:r>
      <w:r>
        <w:t>.</w:t>
      </w:r>
    </w:p>
    <w:p w:rsidR="00B01CE0" w:rsidRDefault="00B01CE0" w:rsidP="00B01CE0">
      <w:pPr>
        <w:pStyle w:val="NormalWeb"/>
        <w:numPr>
          <w:ilvl w:val="0"/>
          <w:numId w:val="19"/>
        </w:numPr>
      </w:pPr>
      <w:r>
        <w:t xml:space="preserve">This Court in </w:t>
      </w:r>
      <w:r>
        <w:rPr>
          <w:rStyle w:val="Emphasis"/>
          <w:b/>
          <w:bCs/>
        </w:rPr>
        <w:t xml:space="preserve">Ajay </w:t>
      </w:r>
      <w:proofErr w:type="spellStart"/>
      <w:r>
        <w:rPr>
          <w:rStyle w:val="Emphasis"/>
          <w:b/>
          <w:bCs/>
        </w:rPr>
        <w:t>Hasia</w:t>
      </w:r>
      <w:proofErr w:type="spellEnd"/>
      <w:r>
        <w:rPr>
          <w:rStyle w:val="Emphasis"/>
          <w:b/>
          <w:bCs/>
        </w:rPr>
        <w:t xml:space="preserve"> v. Khalid </w:t>
      </w:r>
      <w:proofErr w:type="spellStart"/>
      <w:r>
        <w:rPr>
          <w:rStyle w:val="Emphasis"/>
          <w:b/>
          <w:bCs/>
        </w:rPr>
        <w:t>Mujib</w:t>
      </w:r>
      <w:proofErr w:type="spellEnd"/>
      <w:r>
        <w:rPr>
          <w:rStyle w:val="Strong"/>
        </w:rPr>
        <w:t xml:space="preserve"> (1981)</w:t>
      </w:r>
      <w:r>
        <w:t xml:space="preserve"> held that reasonable classification is permissible so long as there is </w:t>
      </w:r>
      <w:r>
        <w:rPr>
          <w:rStyle w:val="Emphasis"/>
        </w:rPr>
        <w:t>intelligible differentia</w:t>
      </w:r>
      <w:r>
        <w:t xml:space="preserve"> and a </w:t>
      </w:r>
      <w:r>
        <w:rPr>
          <w:rStyle w:val="Emphasis"/>
        </w:rPr>
        <w:t>rational nexus</w:t>
      </w:r>
      <w:r>
        <w:t xml:space="preserve"> with the object sought to be achieved.</w:t>
      </w:r>
    </w:p>
    <w:p w:rsidR="00B01CE0" w:rsidRDefault="00B01CE0" w:rsidP="00B01CE0">
      <w:pPr>
        <w:pStyle w:val="NormalWeb"/>
        <w:numPr>
          <w:ilvl w:val="0"/>
          <w:numId w:val="19"/>
        </w:numPr>
      </w:pPr>
      <w:r>
        <w:t xml:space="preserve">Here, the differentia is </w:t>
      </w:r>
      <w:r>
        <w:rPr>
          <w:rStyle w:val="Strong"/>
        </w:rPr>
        <w:t>higher local employment offered by L2</w:t>
      </w:r>
      <w:r>
        <w:t xml:space="preserve">. The nexus is </w:t>
      </w:r>
      <w:r>
        <w:rPr>
          <w:rStyle w:val="Strong"/>
        </w:rPr>
        <w:t>economic revival and healthcare manpower strengthening</w:t>
      </w:r>
      <w:r>
        <w:t xml:space="preserve"> in the post-COVID context. Both satisfy the constitutional test.</w:t>
      </w:r>
    </w:p>
    <w:p w:rsidR="00B01CE0" w:rsidRDefault="00B01CE0" w:rsidP="00B01CE0">
      <w:pPr>
        <w:pStyle w:val="NormalWeb"/>
        <w:numPr>
          <w:ilvl w:val="0"/>
          <w:numId w:val="19"/>
        </w:numPr>
      </w:pPr>
      <w:r>
        <w:t xml:space="preserve">As for </w:t>
      </w:r>
      <w:r>
        <w:rPr>
          <w:rStyle w:val="Strong"/>
        </w:rPr>
        <w:t>Article 19(1)(g)</w:t>
      </w:r>
      <w:r>
        <w:t xml:space="preserve">, Your Lordships in </w:t>
      </w:r>
      <w:r>
        <w:rPr>
          <w:rStyle w:val="Emphasis"/>
          <w:b/>
          <w:bCs/>
        </w:rPr>
        <w:t xml:space="preserve">ITC Ltd. </w:t>
      </w:r>
      <w:proofErr w:type="gramStart"/>
      <w:r>
        <w:rPr>
          <w:rStyle w:val="Emphasis"/>
          <w:b/>
          <w:bCs/>
        </w:rPr>
        <w:t>v.</w:t>
      </w:r>
      <w:proofErr w:type="gramEnd"/>
      <w:r>
        <w:rPr>
          <w:rStyle w:val="Emphasis"/>
          <w:b/>
          <w:bCs/>
        </w:rPr>
        <w:t xml:space="preserve"> State of U.P.</w:t>
      </w:r>
      <w:r>
        <w:rPr>
          <w:rStyle w:val="Strong"/>
        </w:rPr>
        <w:t xml:space="preserve"> (2005)</w:t>
      </w:r>
      <w:r>
        <w:t xml:space="preserve"> upheld restrictions on trade in the larger public interest. The right to carry on business is not absolute; it is subject to </w:t>
      </w:r>
      <w:r>
        <w:rPr>
          <w:rStyle w:val="Strong"/>
        </w:rPr>
        <w:t>reasonable restrictions under Article 19(6)</w:t>
      </w:r>
      <w:r>
        <w:t>.</w:t>
      </w:r>
    </w:p>
    <w:p w:rsidR="00B01CE0" w:rsidRDefault="00B01CE0" w:rsidP="00B01CE0">
      <w:pPr>
        <w:pStyle w:val="NormalWeb"/>
        <w:numPr>
          <w:ilvl w:val="0"/>
          <w:numId w:val="19"/>
        </w:numPr>
      </w:pPr>
      <w:r>
        <w:t>Losing a single tender does not amount to curtailment of the right to trade. This Court has repeatedly held that participation in tender does not create a fundamental right to award.</w:t>
      </w:r>
    </w:p>
    <w:p w:rsidR="00B01CE0" w:rsidRDefault="00B01CE0" w:rsidP="00B01CE0">
      <w:pPr>
        <w:pStyle w:val="NormalWeb"/>
        <w:numPr>
          <w:ilvl w:val="0"/>
          <w:numId w:val="19"/>
        </w:numPr>
      </w:pPr>
      <w:r>
        <w:t xml:space="preserve">In </w:t>
      </w:r>
      <w:proofErr w:type="spellStart"/>
      <w:r>
        <w:rPr>
          <w:rStyle w:val="Emphasis"/>
          <w:b/>
          <w:bCs/>
        </w:rPr>
        <w:t>Raunaq</w:t>
      </w:r>
      <w:proofErr w:type="spellEnd"/>
      <w:r>
        <w:rPr>
          <w:rStyle w:val="Emphasis"/>
          <w:b/>
          <w:bCs/>
        </w:rPr>
        <w:t xml:space="preserve"> International v. IVR Construction</w:t>
      </w:r>
      <w:r>
        <w:rPr>
          <w:rStyle w:val="Strong"/>
        </w:rPr>
        <w:t xml:space="preserve"> (1999)</w:t>
      </w:r>
      <w:r>
        <w:t>, this Court made it clear that L1 does not have an indefeasible right to be awarded a contract.</w:t>
      </w:r>
    </w:p>
    <w:p w:rsidR="00B01CE0" w:rsidRDefault="00B01CE0" w:rsidP="00B01CE0">
      <w:pPr>
        <w:pStyle w:val="NormalWeb"/>
      </w:pPr>
      <w:r>
        <w:t>Thus, Articles 14 and 19(1)(g) stand unviolated.</w:t>
      </w:r>
    </w:p>
    <w:p w:rsidR="00B01CE0" w:rsidRDefault="00B01CE0" w:rsidP="00B01CE0">
      <w:r>
        <w:pict>
          <v:rect id="_x0000_i1027" style="width:0;height:1.5pt" o:hralign="center" o:hrstd="t" o:hr="t" fillcolor="#a0a0a0" stroked="f"/>
        </w:pict>
      </w:r>
    </w:p>
    <w:p w:rsidR="00B01CE0" w:rsidRDefault="00B01CE0" w:rsidP="00B01CE0">
      <w:pPr>
        <w:pStyle w:val="Heading2"/>
        <w:rPr>
          <w:rStyle w:val="Strong"/>
          <w:b w:val="0"/>
          <w:bCs w:val="0"/>
        </w:rPr>
      </w:pPr>
    </w:p>
    <w:p w:rsidR="00B01CE0" w:rsidRDefault="00B01CE0" w:rsidP="00B01CE0">
      <w:pPr>
        <w:pStyle w:val="Heading2"/>
        <w:rPr>
          <w:rStyle w:val="Strong"/>
          <w:b w:val="0"/>
          <w:bCs w:val="0"/>
        </w:rPr>
      </w:pPr>
    </w:p>
    <w:p w:rsidR="00B01CE0" w:rsidRDefault="00B01CE0" w:rsidP="00B01CE0">
      <w:pPr>
        <w:pStyle w:val="Heading2"/>
        <w:rPr>
          <w:rStyle w:val="Strong"/>
          <w:b w:val="0"/>
          <w:bCs w:val="0"/>
        </w:rPr>
      </w:pPr>
    </w:p>
    <w:p w:rsidR="00B01CE0" w:rsidRDefault="00B01CE0" w:rsidP="00B01CE0">
      <w:pPr>
        <w:pStyle w:val="Heading2"/>
        <w:rPr>
          <w:rStyle w:val="Strong"/>
          <w:b w:val="0"/>
          <w:bCs w:val="0"/>
        </w:rPr>
      </w:pPr>
    </w:p>
    <w:p w:rsidR="00B01CE0" w:rsidRDefault="00B01CE0" w:rsidP="00B01CE0">
      <w:pPr>
        <w:pStyle w:val="Heading2"/>
      </w:pPr>
      <w:r>
        <w:rPr>
          <w:rStyle w:val="Strong"/>
          <w:b w:val="0"/>
          <w:bCs w:val="0"/>
        </w:rPr>
        <w:t>2. Clause 12.4 and Section 23</w:t>
      </w:r>
    </w:p>
    <w:p w:rsidR="00B01CE0" w:rsidRDefault="00B01CE0" w:rsidP="00B01CE0">
      <w:pPr>
        <w:pStyle w:val="NormalWeb"/>
        <w:numPr>
          <w:ilvl w:val="0"/>
          <w:numId w:val="20"/>
        </w:numPr>
      </w:pPr>
      <w:r>
        <w:t xml:space="preserve">The Appellant </w:t>
      </w:r>
      <w:proofErr w:type="gramStart"/>
      <w:r>
        <w:t>attacks</w:t>
      </w:r>
      <w:proofErr w:type="gramEnd"/>
      <w:r>
        <w:t xml:space="preserve"> </w:t>
      </w:r>
      <w:r>
        <w:rPr>
          <w:rStyle w:val="Strong"/>
        </w:rPr>
        <w:t>Clause 12.4</w:t>
      </w:r>
      <w:r>
        <w:t xml:space="preserve"> as unconscionable and void under Section 23 of the Contract Act.</w:t>
      </w:r>
    </w:p>
    <w:p w:rsidR="00B01CE0" w:rsidRDefault="00B01CE0" w:rsidP="00B01CE0">
      <w:pPr>
        <w:pStyle w:val="NormalWeb"/>
        <w:numPr>
          <w:ilvl w:val="0"/>
          <w:numId w:val="20"/>
        </w:numPr>
      </w:pPr>
      <w:r>
        <w:t xml:space="preserve">But Your Lordships, Clause 12.4 merely reserves discretion for the Cabinet to weigh </w:t>
      </w:r>
      <w:r>
        <w:rPr>
          <w:rStyle w:val="Emphasis"/>
        </w:rPr>
        <w:t>broader public policy considerations</w:t>
      </w:r>
      <w:r>
        <w:t>. Such clauses are standard in PPP projects.</w:t>
      </w:r>
    </w:p>
    <w:p w:rsidR="00B01CE0" w:rsidRDefault="00B01CE0" w:rsidP="00B01CE0">
      <w:pPr>
        <w:pStyle w:val="NormalWeb"/>
        <w:numPr>
          <w:ilvl w:val="0"/>
          <w:numId w:val="20"/>
        </w:numPr>
      </w:pPr>
      <w:r>
        <w:t xml:space="preserve">This Court in </w:t>
      </w:r>
      <w:r>
        <w:rPr>
          <w:rStyle w:val="Emphasis"/>
          <w:b/>
          <w:bCs/>
        </w:rPr>
        <w:t>LIC of India v. Consumer Education &amp; Research Centre</w:t>
      </w:r>
      <w:r>
        <w:rPr>
          <w:rStyle w:val="Strong"/>
        </w:rPr>
        <w:t xml:space="preserve"> (1995)</w:t>
      </w:r>
      <w:r>
        <w:t xml:space="preserve"> upheld contractual terms when they are guided by </w:t>
      </w:r>
      <w:r>
        <w:rPr>
          <w:rStyle w:val="Strong"/>
        </w:rPr>
        <w:t>public interest</w:t>
      </w:r>
      <w:r>
        <w:t>.</w:t>
      </w:r>
    </w:p>
    <w:p w:rsidR="00B01CE0" w:rsidRDefault="00B01CE0" w:rsidP="00B01CE0">
      <w:pPr>
        <w:pStyle w:val="NormalWeb"/>
        <w:numPr>
          <w:ilvl w:val="0"/>
          <w:numId w:val="20"/>
        </w:numPr>
      </w:pPr>
      <w:r>
        <w:t xml:space="preserve">Contrast this with </w:t>
      </w:r>
      <w:r>
        <w:rPr>
          <w:rStyle w:val="Emphasis"/>
          <w:b/>
          <w:bCs/>
        </w:rPr>
        <w:t xml:space="preserve">Central Inland Water Transport v. </w:t>
      </w:r>
      <w:proofErr w:type="spellStart"/>
      <w:r>
        <w:rPr>
          <w:rStyle w:val="Emphasis"/>
          <w:b/>
          <w:bCs/>
        </w:rPr>
        <w:t>Brojo</w:t>
      </w:r>
      <w:proofErr w:type="spellEnd"/>
      <w:r>
        <w:rPr>
          <w:rStyle w:val="Emphasis"/>
          <w:b/>
          <w:bCs/>
        </w:rPr>
        <w:t xml:space="preserve"> </w:t>
      </w:r>
      <w:proofErr w:type="spellStart"/>
      <w:r>
        <w:rPr>
          <w:rStyle w:val="Emphasis"/>
          <w:b/>
          <w:bCs/>
        </w:rPr>
        <w:t>Nath</w:t>
      </w:r>
      <w:proofErr w:type="spellEnd"/>
      <w:r>
        <w:rPr>
          <w:rStyle w:val="Strong"/>
        </w:rPr>
        <w:t xml:space="preserve"> (1986)</w:t>
      </w:r>
      <w:r>
        <w:t xml:space="preserve"> where the clause was struck down as unconscionable because it gave arbitrary termination power against employees with no public purpose.</w:t>
      </w:r>
    </w:p>
    <w:p w:rsidR="00B01CE0" w:rsidRDefault="00B01CE0" w:rsidP="00B01CE0">
      <w:pPr>
        <w:pStyle w:val="NormalWeb"/>
        <w:numPr>
          <w:ilvl w:val="0"/>
          <w:numId w:val="20"/>
        </w:numPr>
      </w:pPr>
      <w:r>
        <w:t xml:space="preserve">Here, by contrast, the discretion was exercised transparently, citing </w:t>
      </w:r>
      <w:r>
        <w:rPr>
          <w:rStyle w:val="Strong"/>
        </w:rPr>
        <w:t>employment generation</w:t>
      </w:r>
      <w:r>
        <w:t xml:space="preserve"> and </w:t>
      </w:r>
      <w:r>
        <w:rPr>
          <w:rStyle w:val="Strong"/>
        </w:rPr>
        <w:t>health preparedness</w:t>
      </w:r>
      <w:r>
        <w:t xml:space="preserve">. This is the opposite of arbitrariness—it is </w:t>
      </w:r>
      <w:r>
        <w:rPr>
          <w:rStyle w:val="Strong"/>
        </w:rPr>
        <w:t>policy rationality</w:t>
      </w:r>
      <w:r>
        <w:t>.</w:t>
      </w:r>
    </w:p>
    <w:p w:rsidR="00B01CE0" w:rsidRDefault="00B01CE0" w:rsidP="00B01CE0">
      <w:pPr>
        <w:pStyle w:val="NormalWeb"/>
      </w:pPr>
      <w:r>
        <w:t>Hence, Clause 12.4 furthers, not defeats, public policy.</w:t>
      </w:r>
    </w:p>
    <w:p w:rsidR="00B01CE0" w:rsidRDefault="00B01CE0" w:rsidP="00B01CE0">
      <w:r>
        <w:pict>
          <v:rect id="_x0000_i1028" style="width:0;height:1.5pt" o:hralign="center" o:hrstd="t" o:hr="t" fillcolor="#a0a0a0" stroked="f"/>
        </w:pict>
      </w:r>
    </w:p>
    <w:p w:rsidR="00B01CE0" w:rsidRDefault="00B01CE0" w:rsidP="00B01CE0">
      <w:pPr>
        <w:pStyle w:val="Heading2"/>
      </w:pPr>
      <w:r>
        <w:rPr>
          <w:rStyle w:val="Strong"/>
          <w:b w:val="0"/>
          <w:bCs w:val="0"/>
        </w:rPr>
        <w:t>3. Judicial Review in Tender Matters</w:t>
      </w:r>
    </w:p>
    <w:p w:rsidR="00B01CE0" w:rsidRDefault="00B01CE0" w:rsidP="00B01CE0">
      <w:pPr>
        <w:pStyle w:val="NormalWeb"/>
        <w:numPr>
          <w:ilvl w:val="0"/>
          <w:numId w:val="21"/>
        </w:numPr>
      </w:pPr>
      <w:r>
        <w:t>Your Lordships have time and again cautioned against excessive judicial interference in tender and contract matters.</w:t>
      </w:r>
    </w:p>
    <w:p w:rsidR="00B01CE0" w:rsidRDefault="00B01CE0" w:rsidP="00B01CE0">
      <w:pPr>
        <w:pStyle w:val="NormalWeb"/>
        <w:numPr>
          <w:ilvl w:val="0"/>
          <w:numId w:val="21"/>
        </w:numPr>
      </w:pPr>
      <w:r>
        <w:t xml:space="preserve">In </w:t>
      </w:r>
      <w:r>
        <w:rPr>
          <w:rStyle w:val="Emphasis"/>
          <w:b/>
          <w:bCs/>
        </w:rPr>
        <w:t>Tata Cellular v. Union of India</w:t>
      </w:r>
      <w:r>
        <w:rPr>
          <w:rStyle w:val="Strong"/>
        </w:rPr>
        <w:t xml:space="preserve"> (1994)</w:t>
      </w:r>
      <w:r>
        <w:t>, this Court held that the scope of judicial review is limited to examining arbitrariness, mala fides, or perversity—not to sit as an appellate authority over executive policy.</w:t>
      </w:r>
    </w:p>
    <w:p w:rsidR="00B01CE0" w:rsidRDefault="00B01CE0" w:rsidP="00B01CE0">
      <w:pPr>
        <w:pStyle w:val="NormalWeb"/>
        <w:numPr>
          <w:ilvl w:val="0"/>
          <w:numId w:val="21"/>
        </w:numPr>
      </w:pPr>
      <w:r>
        <w:t xml:space="preserve">In </w:t>
      </w:r>
      <w:proofErr w:type="spellStart"/>
      <w:r>
        <w:rPr>
          <w:rStyle w:val="Emphasis"/>
          <w:b/>
          <w:bCs/>
        </w:rPr>
        <w:t>Jagdish</w:t>
      </w:r>
      <w:proofErr w:type="spellEnd"/>
      <w:r>
        <w:rPr>
          <w:rStyle w:val="Emphasis"/>
          <w:b/>
          <w:bCs/>
        </w:rPr>
        <w:t xml:space="preserve"> Mandal v. State of Orissa</w:t>
      </w:r>
      <w:r>
        <w:rPr>
          <w:rStyle w:val="Strong"/>
        </w:rPr>
        <w:t xml:space="preserve"> (2007)</w:t>
      </w:r>
      <w:r>
        <w:t>, it was held that unless the decision is mala fide or intended to favour someone unfairly, courts must defer to executive wisdom.</w:t>
      </w:r>
    </w:p>
    <w:p w:rsidR="00B01CE0" w:rsidRDefault="00B01CE0" w:rsidP="00B01CE0">
      <w:pPr>
        <w:pStyle w:val="NormalWeb"/>
        <w:numPr>
          <w:ilvl w:val="0"/>
          <w:numId w:val="21"/>
        </w:numPr>
      </w:pPr>
      <w:r>
        <w:t>Here, there is no allegation of mala fides, no hidden favouritism, and no procedural violation. Only a policy preference was exercised under a valid clause.</w:t>
      </w:r>
    </w:p>
    <w:p w:rsidR="00B01CE0" w:rsidRDefault="00B01CE0" w:rsidP="00B01CE0">
      <w:pPr>
        <w:pStyle w:val="NormalWeb"/>
      </w:pPr>
      <w:r>
        <w:t>Therefore, the High Court rightly exercised restraint, and so must this Hon’ble Court.</w:t>
      </w:r>
    </w:p>
    <w:p w:rsidR="00B01CE0" w:rsidRDefault="00B01CE0" w:rsidP="00B01CE0">
      <w:r>
        <w:pict>
          <v:rect id="_x0000_i1029" style="width:0;height:1.5pt" o:hralign="center" o:hrstd="t" o:hr="t" fillcolor="#a0a0a0" stroked="f"/>
        </w:pict>
      </w:r>
    </w:p>
    <w:p w:rsidR="00B01CE0" w:rsidRDefault="00B01CE0" w:rsidP="00B01CE0">
      <w:pPr>
        <w:pStyle w:val="Heading2"/>
        <w:rPr>
          <w:rStyle w:val="Strong"/>
          <w:b w:val="0"/>
          <w:bCs w:val="0"/>
        </w:rPr>
      </w:pPr>
    </w:p>
    <w:p w:rsidR="00B01CE0" w:rsidRDefault="00B01CE0" w:rsidP="00B01CE0">
      <w:pPr>
        <w:pStyle w:val="Heading2"/>
        <w:rPr>
          <w:rStyle w:val="Strong"/>
          <w:b w:val="0"/>
          <w:bCs w:val="0"/>
        </w:rPr>
      </w:pPr>
    </w:p>
    <w:p w:rsidR="00B01CE0" w:rsidRDefault="00B01CE0" w:rsidP="00B01CE0">
      <w:pPr>
        <w:pStyle w:val="Heading2"/>
        <w:rPr>
          <w:rStyle w:val="Strong"/>
          <w:b w:val="0"/>
          <w:bCs w:val="0"/>
        </w:rPr>
      </w:pPr>
    </w:p>
    <w:p w:rsidR="00B01CE0" w:rsidRDefault="00B01CE0" w:rsidP="00B01CE0">
      <w:pPr>
        <w:pStyle w:val="Heading2"/>
        <w:rPr>
          <w:rStyle w:val="Strong"/>
          <w:b w:val="0"/>
          <w:bCs w:val="0"/>
        </w:rPr>
      </w:pPr>
    </w:p>
    <w:p w:rsidR="00B01CE0" w:rsidRDefault="00B01CE0" w:rsidP="00B01CE0">
      <w:pPr>
        <w:pStyle w:val="Heading2"/>
      </w:pPr>
      <w:r>
        <w:rPr>
          <w:rStyle w:val="Strong"/>
          <w:b w:val="0"/>
          <w:bCs w:val="0"/>
        </w:rPr>
        <w:t>4. Employment and Public Welfare</w:t>
      </w:r>
    </w:p>
    <w:p w:rsidR="00B01CE0" w:rsidRDefault="00B01CE0" w:rsidP="00B01CE0">
      <w:pPr>
        <w:pStyle w:val="NormalWeb"/>
        <w:numPr>
          <w:ilvl w:val="0"/>
          <w:numId w:val="22"/>
        </w:numPr>
      </w:pPr>
      <w:r>
        <w:t>The Appellant claims “employment was an afterthought”. Respectfully, this ignores ground realities.</w:t>
      </w:r>
    </w:p>
    <w:p w:rsidR="00B01CE0" w:rsidRDefault="00B01CE0" w:rsidP="00B01CE0">
      <w:pPr>
        <w:pStyle w:val="NormalWeb"/>
        <w:numPr>
          <w:ilvl w:val="0"/>
          <w:numId w:val="22"/>
        </w:numPr>
      </w:pPr>
      <w:r>
        <w:t xml:space="preserve">After COVID, States across India have emphasised </w:t>
      </w:r>
      <w:r>
        <w:rPr>
          <w:rStyle w:val="Strong"/>
        </w:rPr>
        <w:t>local employment generation</w:t>
      </w:r>
      <w:r>
        <w:t xml:space="preserve"> to revive economies and to ensure manpower in critical health sectors.</w:t>
      </w:r>
    </w:p>
    <w:p w:rsidR="00B01CE0" w:rsidRDefault="00B01CE0" w:rsidP="00B01CE0">
      <w:pPr>
        <w:pStyle w:val="NormalWeb"/>
        <w:numPr>
          <w:ilvl w:val="0"/>
          <w:numId w:val="22"/>
        </w:numPr>
      </w:pPr>
      <w:r>
        <w:t xml:space="preserve">In </w:t>
      </w:r>
      <w:r>
        <w:rPr>
          <w:rStyle w:val="Emphasis"/>
          <w:b/>
          <w:bCs/>
        </w:rPr>
        <w:t>Reliance Airport Developers v. AAI</w:t>
      </w:r>
      <w:r>
        <w:rPr>
          <w:rStyle w:val="Strong"/>
        </w:rPr>
        <w:t xml:space="preserve"> (2006)</w:t>
      </w:r>
      <w:r>
        <w:t>, this Court recognised that government can legitimately incorporate socio-economic considerations while awarding contracts.</w:t>
      </w:r>
    </w:p>
    <w:p w:rsidR="00B01CE0" w:rsidRDefault="00B01CE0" w:rsidP="00B01CE0">
      <w:pPr>
        <w:pStyle w:val="NormalWeb"/>
        <w:numPr>
          <w:ilvl w:val="0"/>
          <w:numId w:val="22"/>
        </w:numPr>
      </w:pPr>
      <w:r>
        <w:t xml:space="preserve">Similarly, </w:t>
      </w:r>
      <w:r>
        <w:rPr>
          <w:rStyle w:val="Emphasis"/>
          <w:b/>
          <w:bCs/>
        </w:rPr>
        <w:t>BALCO Employees Union v. UOI</w:t>
      </w:r>
      <w:r>
        <w:rPr>
          <w:rStyle w:val="Strong"/>
        </w:rPr>
        <w:t xml:space="preserve"> (2002)</w:t>
      </w:r>
      <w:r>
        <w:t xml:space="preserve"> acknowledged that public policy considerations—employment, growth, and welfare—lie at the core of State discretion.</w:t>
      </w:r>
    </w:p>
    <w:p w:rsidR="00B01CE0" w:rsidRDefault="00B01CE0" w:rsidP="00B01CE0">
      <w:pPr>
        <w:pStyle w:val="NormalWeb"/>
        <w:numPr>
          <w:ilvl w:val="0"/>
          <w:numId w:val="22"/>
        </w:numPr>
      </w:pPr>
      <w:r>
        <w:t xml:space="preserve">Even if employment was not an explicit parameter in the original evaluation, </w:t>
      </w:r>
      <w:r>
        <w:rPr>
          <w:rStyle w:val="Strong"/>
        </w:rPr>
        <w:t>Clause 12.4 empowered the Cabinet to consider such vital public interest factors before final award</w:t>
      </w:r>
      <w:r>
        <w:t>.</w:t>
      </w:r>
    </w:p>
    <w:p w:rsidR="00B01CE0" w:rsidRDefault="00B01CE0" w:rsidP="00B01CE0">
      <w:pPr>
        <w:pStyle w:val="NormalWeb"/>
      </w:pPr>
      <w:r>
        <w:t>Thus, employment as a consideration is constitutionally valid and in harmony with Articles 14 and 19(6).</w:t>
      </w:r>
    </w:p>
    <w:p w:rsidR="00B01CE0" w:rsidRDefault="00B01CE0" w:rsidP="00B01CE0">
      <w:r>
        <w:pict>
          <v:rect id="_x0000_i1030" style="width:0;height:1.5pt" o:hralign="center" o:hrstd="t" o:hr="t" fillcolor="#a0a0a0" stroked="f"/>
        </w:pict>
      </w:r>
    </w:p>
    <w:p w:rsidR="00B01CE0" w:rsidRDefault="00B01CE0" w:rsidP="00B01CE0">
      <w:pPr>
        <w:pStyle w:val="Heading2"/>
      </w:pPr>
      <w:r>
        <w:rPr>
          <w:rStyle w:val="Strong"/>
          <w:b w:val="0"/>
          <w:bCs w:val="0"/>
        </w:rPr>
        <w:t>5. Legitimate Expectation</w:t>
      </w:r>
    </w:p>
    <w:p w:rsidR="00B01CE0" w:rsidRDefault="00B01CE0" w:rsidP="00B01CE0">
      <w:pPr>
        <w:pStyle w:val="NormalWeb"/>
        <w:numPr>
          <w:ilvl w:val="0"/>
          <w:numId w:val="23"/>
        </w:numPr>
      </w:pPr>
      <w:r>
        <w:t>My learned friend invokes “legitimate expectation”. But this doctrine cannot override express tender terms.</w:t>
      </w:r>
    </w:p>
    <w:p w:rsidR="00B01CE0" w:rsidRDefault="00B01CE0" w:rsidP="00B01CE0">
      <w:pPr>
        <w:pStyle w:val="NormalWeb"/>
        <w:numPr>
          <w:ilvl w:val="0"/>
          <w:numId w:val="23"/>
        </w:numPr>
      </w:pPr>
      <w:r>
        <w:t xml:space="preserve">In </w:t>
      </w:r>
      <w:r>
        <w:rPr>
          <w:rStyle w:val="Emphasis"/>
          <w:b/>
          <w:bCs/>
        </w:rPr>
        <w:t>UOI v. Hindustan Development Corporation</w:t>
      </w:r>
      <w:r>
        <w:rPr>
          <w:rStyle w:val="Strong"/>
        </w:rPr>
        <w:t xml:space="preserve"> (1993)</w:t>
      </w:r>
      <w:r>
        <w:t xml:space="preserve">, this Court held that legitimate expectation yields to overriding </w:t>
      </w:r>
      <w:r>
        <w:rPr>
          <w:rStyle w:val="Strong"/>
        </w:rPr>
        <w:t>public interest</w:t>
      </w:r>
      <w:r>
        <w:t>.</w:t>
      </w:r>
    </w:p>
    <w:p w:rsidR="00B01CE0" w:rsidRDefault="00B01CE0" w:rsidP="00B01CE0">
      <w:pPr>
        <w:pStyle w:val="NormalWeb"/>
        <w:numPr>
          <w:ilvl w:val="0"/>
          <w:numId w:val="23"/>
        </w:numPr>
      </w:pPr>
      <w:r>
        <w:t>Clause 12.4 put every bidder on notice that the Cabinet retained discretion. No expectation contrary to that clause can arise.</w:t>
      </w:r>
    </w:p>
    <w:p w:rsidR="00B01CE0" w:rsidRDefault="00B01CE0" w:rsidP="00B01CE0">
      <w:r>
        <w:pict>
          <v:rect id="_x0000_i1031" style="width:0;height:1.5pt" o:hralign="center" o:hrstd="t" o:hr="t" fillcolor="#a0a0a0" stroked="f"/>
        </w:pict>
      </w:r>
    </w:p>
    <w:p w:rsidR="00B01CE0" w:rsidRDefault="00B01CE0" w:rsidP="00B01CE0">
      <w:pPr>
        <w:pStyle w:val="Heading2"/>
      </w:pPr>
      <w:r>
        <w:rPr>
          <w:rStyle w:val="Strong"/>
          <w:b w:val="0"/>
          <w:bCs w:val="0"/>
        </w:rPr>
        <w:t>Closing</w:t>
      </w:r>
    </w:p>
    <w:p w:rsidR="00B01CE0" w:rsidRDefault="00B01CE0" w:rsidP="00B01CE0">
      <w:pPr>
        <w:pStyle w:val="NormalWeb"/>
      </w:pPr>
      <w:r>
        <w:rPr>
          <w:rStyle w:val="Strong"/>
        </w:rPr>
        <w:t>Your Lordships,</w:t>
      </w:r>
      <w:r>
        <w:br/>
        <w:t xml:space="preserve">This is not a case of arbitrariness but of </w:t>
      </w:r>
      <w:r>
        <w:rPr>
          <w:rStyle w:val="Strong"/>
        </w:rPr>
        <w:t>balancing competing interests</w:t>
      </w:r>
      <w:r>
        <w:t>—price versus employment, cost versus welfare.</w:t>
      </w:r>
      <w:r>
        <w:br/>
        <w:t>Judicial review cannot supplant executive wisdom where policy choice is exercised lawfully.</w:t>
      </w:r>
    </w:p>
    <w:p w:rsidR="00B01CE0" w:rsidRDefault="00B01CE0" w:rsidP="00B01CE0">
      <w:pPr>
        <w:pStyle w:val="NormalWeb"/>
      </w:pPr>
      <w:r>
        <w:t>We therefore respectfully submit that the Petition be dismissed, the award to Care Well be upheld, and Clause 12.4 sustained as a valid expression of public interest.</w:t>
      </w:r>
    </w:p>
    <w:p w:rsidR="004C27C2" w:rsidRDefault="00B01CE0"/>
    <w:sectPr w:rsidR="004C27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F7462"/>
    <w:multiLevelType w:val="multilevel"/>
    <w:tmpl w:val="46E894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6441707"/>
    <w:multiLevelType w:val="multilevel"/>
    <w:tmpl w:val="3D4C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C14B8"/>
    <w:multiLevelType w:val="multilevel"/>
    <w:tmpl w:val="01509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44D66"/>
    <w:multiLevelType w:val="multilevel"/>
    <w:tmpl w:val="FC24B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9E5249E"/>
    <w:multiLevelType w:val="multilevel"/>
    <w:tmpl w:val="E1DEB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377AB"/>
    <w:multiLevelType w:val="multilevel"/>
    <w:tmpl w:val="80A01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9E7888"/>
    <w:multiLevelType w:val="multilevel"/>
    <w:tmpl w:val="7BCA7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C90565B"/>
    <w:multiLevelType w:val="multilevel"/>
    <w:tmpl w:val="4FEA2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5F6334"/>
    <w:multiLevelType w:val="multilevel"/>
    <w:tmpl w:val="13D07B6A"/>
    <w:lvl w:ilvl="0">
      <w:start w:val="1"/>
      <w:numFmt w:val="decimal"/>
      <w:lvlText w:val="%1"/>
      <w:lvlJc w:val="left"/>
      <w:pPr>
        <w:ind w:left="360" w:hanging="360"/>
      </w:pPr>
    </w:lvl>
    <w:lvl w:ilvl="1">
      <w:start w:val="1"/>
      <w:numFmt w:val="decimal"/>
      <w:lvlText w:val="%1.%2"/>
      <w:lvlJc w:val="left"/>
      <w:pPr>
        <w:ind w:left="1500" w:hanging="360"/>
      </w:pPr>
    </w:lvl>
    <w:lvl w:ilvl="2">
      <w:start w:val="1"/>
      <w:numFmt w:val="decimal"/>
      <w:lvlText w:val="%1.%2.%3"/>
      <w:lvlJc w:val="left"/>
      <w:pPr>
        <w:ind w:left="3000" w:hanging="720"/>
      </w:pPr>
    </w:lvl>
    <w:lvl w:ilvl="3">
      <w:start w:val="1"/>
      <w:numFmt w:val="decimal"/>
      <w:lvlText w:val="%1.%2.%3.%4"/>
      <w:lvlJc w:val="left"/>
      <w:pPr>
        <w:ind w:left="4140" w:hanging="720"/>
      </w:pPr>
    </w:lvl>
    <w:lvl w:ilvl="4">
      <w:start w:val="1"/>
      <w:numFmt w:val="decimal"/>
      <w:lvlText w:val="%1.%2.%3.%4.%5"/>
      <w:lvlJc w:val="left"/>
      <w:pPr>
        <w:ind w:left="5640" w:hanging="1080"/>
      </w:pPr>
    </w:lvl>
    <w:lvl w:ilvl="5">
      <w:start w:val="1"/>
      <w:numFmt w:val="decimal"/>
      <w:lvlText w:val="%1.%2.%3.%4.%5.%6"/>
      <w:lvlJc w:val="left"/>
      <w:pPr>
        <w:ind w:left="6780" w:hanging="1080"/>
      </w:pPr>
    </w:lvl>
    <w:lvl w:ilvl="6">
      <w:start w:val="1"/>
      <w:numFmt w:val="decimal"/>
      <w:lvlText w:val="%1.%2.%3.%4.%5.%6.%7"/>
      <w:lvlJc w:val="left"/>
      <w:pPr>
        <w:ind w:left="8280" w:hanging="1440"/>
      </w:pPr>
    </w:lvl>
    <w:lvl w:ilvl="7">
      <w:start w:val="1"/>
      <w:numFmt w:val="decimal"/>
      <w:lvlText w:val="%1.%2.%3.%4.%5.%6.%7.%8"/>
      <w:lvlJc w:val="left"/>
      <w:pPr>
        <w:ind w:left="9420" w:hanging="1440"/>
      </w:pPr>
    </w:lvl>
    <w:lvl w:ilvl="8">
      <w:start w:val="1"/>
      <w:numFmt w:val="decimal"/>
      <w:lvlText w:val="%1.%2.%3.%4.%5.%6.%7.%8.%9"/>
      <w:lvlJc w:val="left"/>
      <w:pPr>
        <w:ind w:left="10920" w:hanging="1800"/>
      </w:pPr>
    </w:lvl>
  </w:abstractNum>
  <w:abstractNum w:abstractNumId="9" w15:restartNumberingAfterBreak="0">
    <w:nsid w:val="35831439"/>
    <w:multiLevelType w:val="multilevel"/>
    <w:tmpl w:val="F7E2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0416B0"/>
    <w:multiLevelType w:val="multilevel"/>
    <w:tmpl w:val="1C0C3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7A17B7"/>
    <w:multiLevelType w:val="multilevel"/>
    <w:tmpl w:val="E9202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5E3250"/>
    <w:multiLevelType w:val="multilevel"/>
    <w:tmpl w:val="B1F0B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39047A"/>
    <w:multiLevelType w:val="multilevel"/>
    <w:tmpl w:val="C1F69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C97089"/>
    <w:multiLevelType w:val="multilevel"/>
    <w:tmpl w:val="FDAE8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D93175"/>
    <w:multiLevelType w:val="multilevel"/>
    <w:tmpl w:val="47DE5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A35A7A"/>
    <w:multiLevelType w:val="multilevel"/>
    <w:tmpl w:val="8F8A38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53D43749"/>
    <w:multiLevelType w:val="hybridMultilevel"/>
    <w:tmpl w:val="EC507F14"/>
    <w:lvl w:ilvl="0" w:tplc="EC7E5D54">
      <w:start w:val="15"/>
      <w:numFmt w:val="bullet"/>
      <w:lvlText w:val=""/>
      <w:lvlJc w:val="left"/>
      <w:pPr>
        <w:ind w:left="720" w:hanging="360"/>
      </w:pPr>
      <w:rPr>
        <w:rFonts w:ascii="Wingdings" w:eastAsiaTheme="minorHAnsi" w:hAnsi="Wingdings" w:cstheme="minorBidi" w:hint="default"/>
        <w:i/>
        <w:sz w:val="22"/>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68AD73D5"/>
    <w:multiLevelType w:val="multilevel"/>
    <w:tmpl w:val="FC3E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9D2B22"/>
    <w:multiLevelType w:val="multilevel"/>
    <w:tmpl w:val="7A2C6A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A222A3"/>
    <w:multiLevelType w:val="multilevel"/>
    <w:tmpl w:val="ECAE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062745"/>
    <w:multiLevelType w:val="multilevel"/>
    <w:tmpl w:val="84C4F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5F4877"/>
    <w:multiLevelType w:val="multilevel"/>
    <w:tmpl w:val="782C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lvlOverride w:ilvl="0"/>
    <w:lvlOverride w:ilvl="1"/>
    <w:lvlOverride w:ilvl="2"/>
    <w:lvlOverride w:ilvl="3"/>
    <w:lvlOverride w:ilvl="4"/>
    <w:lvlOverride w:ilvl="5"/>
    <w:lvlOverride w:ilvl="6"/>
    <w:lvlOverride w:ilvl="7"/>
    <w:lvlOverride w:ilvl="8"/>
  </w:num>
  <w:num w:numId="2">
    <w:abstractNumId w:val="17"/>
    <w:lvlOverride w:ilvl="0"/>
    <w:lvlOverride w:ilvl="1"/>
    <w:lvlOverride w:ilvl="2"/>
    <w:lvlOverride w:ilvl="3"/>
    <w:lvlOverride w:ilvl="4"/>
    <w:lvlOverride w:ilvl="5"/>
    <w:lvlOverride w:ilvl="6"/>
    <w:lvlOverride w:ilvl="7"/>
    <w:lvlOverride w:ilvl="8"/>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lvlOverride w:ilvl="0"/>
    <w:lvlOverride w:ilvl="1">
      <w:startOverride w:val="1"/>
    </w:lvlOverride>
    <w:lvlOverride w:ilvl="2"/>
    <w:lvlOverride w:ilvl="3"/>
    <w:lvlOverride w:ilvl="4"/>
    <w:lvlOverride w:ilvl="5"/>
    <w:lvlOverride w:ilvl="6"/>
    <w:lvlOverride w:ilvl="7"/>
    <w:lvlOverride w:ilvl="8"/>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lvlOverride w:ilvl="1"/>
    <w:lvlOverride w:ilvl="2"/>
    <w:lvlOverride w:ilvl="3"/>
    <w:lvlOverride w:ilvl="4"/>
    <w:lvlOverride w:ilvl="5"/>
    <w:lvlOverride w:ilvl="6"/>
    <w:lvlOverride w:ilvl="7"/>
    <w:lvlOverride w:ilvl="8"/>
  </w:num>
  <w:num w:numId="8">
    <w:abstractNumId w:val="10"/>
    <w:lvlOverride w:ilvl="0"/>
    <w:lvlOverride w:ilvl="1"/>
    <w:lvlOverride w:ilvl="2"/>
    <w:lvlOverride w:ilvl="3"/>
    <w:lvlOverride w:ilvl="4"/>
    <w:lvlOverride w:ilvl="5"/>
    <w:lvlOverride w:ilvl="6"/>
    <w:lvlOverride w:ilvl="7"/>
    <w:lvlOverride w:ilvl="8"/>
  </w:num>
  <w:num w:numId="9">
    <w:abstractNumId w:val="4"/>
    <w:lvlOverride w:ilvl="0"/>
    <w:lvlOverride w:ilvl="1"/>
    <w:lvlOverride w:ilvl="2"/>
    <w:lvlOverride w:ilvl="3"/>
    <w:lvlOverride w:ilvl="4"/>
    <w:lvlOverride w:ilvl="5"/>
    <w:lvlOverride w:ilvl="6"/>
    <w:lvlOverride w:ilvl="7"/>
    <w:lvlOverride w:ilvl="8"/>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lvlOverride w:ilvl="0"/>
    <w:lvlOverride w:ilvl="1"/>
    <w:lvlOverride w:ilvl="2"/>
    <w:lvlOverride w:ilvl="3"/>
    <w:lvlOverride w:ilvl="4"/>
    <w:lvlOverride w:ilvl="5"/>
    <w:lvlOverride w:ilvl="6"/>
    <w:lvlOverride w:ilvl="7"/>
    <w:lvlOverride w:ilvl="8"/>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lvlOverride w:ilvl="1"/>
    <w:lvlOverride w:ilvl="2"/>
    <w:lvlOverride w:ilvl="3"/>
    <w:lvlOverride w:ilvl="4"/>
    <w:lvlOverride w:ilvl="5"/>
    <w:lvlOverride w:ilvl="6"/>
    <w:lvlOverride w:ilvl="7"/>
    <w:lvlOverride w:ilvl="8"/>
  </w:num>
  <w:num w:numId="14">
    <w:abstractNumId w:val="2"/>
    <w:lvlOverride w:ilvl="0"/>
    <w:lvlOverride w:ilvl="1"/>
    <w:lvlOverride w:ilvl="2"/>
    <w:lvlOverride w:ilvl="3"/>
    <w:lvlOverride w:ilvl="4"/>
    <w:lvlOverride w:ilvl="5"/>
    <w:lvlOverride w:ilvl="6"/>
    <w:lvlOverride w:ilvl="7"/>
    <w:lvlOverride w:ilvl="8"/>
  </w:num>
  <w:num w:numId="15">
    <w:abstractNumId w:val="7"/>
    <w:lvlOverride w:ilvl="0"/>
    <w:lvlOverride w:ilvl="1"/>
    <w:lvlOverride w:ilvl="2"/>
    <w:lvlOverride w:ilvl="3"/>
    <w:lvlOverride w:ilvl="4"/>
    <w:lvlOverride w:ilvl="5"/>
    <w:lvlOverride w:ilvl="6"/>
    <w:lvlOverride w:ilvl="7"/>
    <w:lvlOverride w:ilvl="8"/>
  </w:num>
  <w:num w:numId="16">
    <w:abstractNumId w:val="14"/>
    <w:lvlOverride w:ilvl="0"/>
    <w:lvlOverride w:ilvl="1"/>
    <w:lvlOverride w:ilvl="2"/>
    <w:lvlOverride w:ilvl="3"/>
    <w:lvlOverride w:ilvl="4"/>
    <w:lvlOverride w:ilvl="5"/>
    <w:lvlOverride w:ilvl="6"/>
    <w:lvlOverride w:ilvl="7"/>
    <w:lvlOverride w:ilvl="8"/>
  </w:num>
  <w:num w:numId="17">
    <w:abstractNumId w:val="5"/>
    <w:lvlOverride w:ilvl="0"/>
    <w:lvlOverride w:ilvl="1"/>
    <w:lvlOverride w:ilvl="2"/>
    <w:lvlOverride w:ilvl="3"/>
    <w:lvlOverride w:ilvl="4"/>
    <w:lvlOverride w:ilvl="5"/>
    <w:lvlOverride w:ilvl="6"/>
    <w:lvlOverride w:ilvl="7"/>
    <w:lvlOverride w:ilvl="8"/>
  </w:num>
  <w:num w:numId="18">
    <w:abstractNumId w:val="11"/>
    <w:lvlOverride w:ilvl="0"/>
    <w:lvlOverride w:ilvl="1"/>
    <w:lvlOverride w:ilvl="2"/>
    <w:lvlOverride w:ilvl="3"/>
    <w:lvlOverride w:ilvl="4"/>
    <w:lvlOverride w:ilvl="5"/>
    <w:lvlOverride w:ilvl="6"/>
    <w:lvlOverride w:ilvl="7"/>
    <w:lvlOverride w:ilvl="8"/>
  </w:num>
  <w:num w:numId="19">
    <w:abstractNumId w:val="20"/>
  </w:num>
  <w:num w:numId="20">
    <w:abstractNumId w:val="22"/>
  </w:num>
  <w:num w:numId="21">
    <w:abstractNumId w:val="18"/>
  </w:num>
  <w:num w:numId="22">
    <w:abstractNumId w:val="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D44"/>
    <w:rsid w:val="001B66C2"/>
    <w:rsid w:val="0025413D"/>
    <w:rsid w:val="003A3D44"/>
    <w:rsid w:val="00615E01"/>
    <w:rsid w:val="006E056D"/>
    <w:rsid w:val="009E05CF"/>
    <w:rsid w:val="00B01CE0"/>
    <w:rsid w:val="00B12E1A"/>
    <w:rsid w:val="00C45CA2"/>
    <w:rsid w:val="00FE5B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7D911"/>
  <w15:chartTrackingRefBased/>
  <w15:docId w15:val="{265BF47C-9D91-4586-A2FB-CE8853D6F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D44"/>
    <w:pPr>
      <w:spacing w:line="256" w:lineRule="auto"/>
    </w:pPr>
  </w:style>
  <w:style w:type="paragraph" w:styleId="Heading2">
    <w:name w:val="heading 2"/>
    <w:basedOn w:val="Normal"/>
    <w:next w:val="Normal"/>
    <w:link w:val="Heading2Char"/>
    <w:uiPriority w:val="9"/>
    <w:semiHidden/>
    <w:unhideWhenUsed/>
    <w:qFormat/>
    <w:rsid w:val="003A3D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semiHidden/>
    <w:unhideWhenUsed/>
    <w:qFormat/>
    <w:rsid w:val="003A3D4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A3D4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A3D4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A3D4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A3D44"/>
    <w:pPr>
      <w:ind w:left="720"/>
      <w:contextualSpacing/>
    </w:pPr>
  </w:style>
  <w:style w:type="character" w:styleId="Strong">
    <w:name w:val="Strong"/>
    <w:basedOn w:val="DefaultParagraphFont"/>
    <w:uiPriority w:val="22"/>
    <w:qFormat/>
    <w:rsid w:val="003A3D44"/>
    <w:rPr>
      <w:b/>
      <w:bCs/>
    </w:rPr>
  </w:style>
  <w:style w:type="character" w:styleId="Emphasis">
    <w:name w:val="Emphasis"/>
    <w:basedOn w:val="DefaultParagraphFont"/>
    <w:uiPriority w:val="20"/>
    <w:qFormat/>
    <w:rsid w:val="003A3D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728631">
      <w:bodyDiv w:val="1"/>
      <w:marLeft w:val="0"/>
      <w:marRight w:val="0"/>
      <w:marTop w:val="0"/>
      <w:marBottom w:val="0"/>
      <w:divBdr>
        <w:top w:val="none" w:sz="0" w:space="0" w:color="auto"/>
        <w:left w:val="none" w:sz="0" w:space="0" w:color="auto"/>
        <w:bottom w:val="none" w:sz="0" w:space="0" w:color="auto"/>
        <w:right w:val="none" w:sz="0" w:space="0" w:color="auto"/>
      </w:divBdr>
    </w:div>
    <w:div w:id="316998857">
      <w:bodyDiv w:val="1"/>
      <w:marLeft w:val="0"/>
      <w:marRight w:val="0"/>
      <w:marTop w:val="0"/>
      <w:marBottom w:val="0"/>
      <w:divBdr>
        <w:top w:val="none" w:sz="0" w:space="0" w:color="auto"/>
        <w:left w:val="none" w:sz="0" w:space="0" w:color="auto"/>
        <w:bottom w:val="none" w:sz="0" w:space="0" w:color="auto"/>
        <w:right w:val="none" w:sz="0" w:space="0" w:color="auto"/>
      </w:divBdr>
    </w:div>
    <w:div w:id="1670325714">
      <w:bodyDiv w:val="1"/>
      <w:marLeft w:val="0"/>
      <w:marRight w:val="0"/>
      <w:marTop w:val="0"/>
      <w:marBottom w:val="0"/>
      <w:divBdr>
        <w:top w:val="none" w:sz="0" w:space="0" w:color="auto"/>
        <w:left w:val="none" w:sz="0" w:space="0" w:color="auto"/>
        <w:bottom w:val="none" w:sz="0" w:space="0" w:color="auto"/>
        <w:right w:val="none" w:sz="0" w:space="0" w:color="auto"/>
      </w:divBdr>
      <w:divsChild>
        <w:div w:id="57320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29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6</Pages>
  <Words>1411</Words>
  <Characters>8046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Gupta</dc:creator>
  <cp:keywords/>
  <dc:description/>
  <cp:lastModifiedBy>Yash Gupta</cp:lastModifiedBy>
  <cp:revision>15</cp:revision>
  <dcterms:created xsi:type="dcterms:W3CDTF">2025-09-16T01:28:00Z</dcterms:created>
  <dcterms:modified xsi:type="dcterms:W3CDTF">2025-09-16T03:43:00Z</dcterms:modified>
</cp:coreProperties>
</file>