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CF0" w:rsidRDefault="00E36CF0" w:rsidP="00E36CF0">
      <w:r>
        <w:t>1. Decided On: 18.04.2022</w:t>
      </w:r>
    </w:p>
    <w:p w:rsidR="00E36CF0" w:rsidRDefault="00E36CF0" w:rsidP="00E36CF0"/>
    <w:p w:rsidR="00E36CF0" w:rsidRDefault="00E36CF0" w:rsidP="00E36CF0">
      <w:proofErr w:type="spellStart"/>
      <w:r>
        <w:t>Jagjeet</w:t>
      </w:r>
      <w:proofErr w:type="spellEnd"/>
      <w:r>
        <w:t xml:space="preserve"> Singh and </w:t>
      </w:r>
      <w:proofErr w:type="spellStart"/>
      <w:r>
        <w:t>Ors</w:t>
      </w:r>
      <w:proofErr w:type="spellEnd"/>
      <w:r>
        <w:t xml:space="preserve">. Vs. Ashish Mishra and </w:t>
      </w:r>
      <w:proofErr w:type="spellStart"/>
      <w:r>
        <w:t>Ors</w:t>
      </w:r>
      <w:proofErr w:type="spellEnd"/>
      <w:r>
        <w:t>. ..(+)</w:t>
      </w:r>
    </w:p>
    <w:p w:rsidR="00E36CF0" w:rsidRDefault="00E36CF0" w:rsidP="00E36CF0"/>
    <w:p w:rsidR="00E36CF0" w:rsidRDefault="00E36CF0" w:rsidP="00E36CF0">
      <w:r>
        <w:t xml:space="preserve"> : MANU/SC/0491/2022</w:t>
      </w:r>
    </w:p>
    <w:p w:rsidR="00E36CF0" w:rsidRDefault="00E36CF0" w:rsidP="00E36CF0"/>
    <w:p w:rsidR="00E36CF0" w:rsidRDefault="00E36CF0" w:rsidP="00E36CF0">
      <w:proofErr w:type="spellStart"/>
      <w:proofErr w:type="gramStart"/>
      <w:r>
        <w:t>Judegment</w:t>
      </w:r>
      <w:proofErr w:type="spellEnd"/>
      <w:r>
        <w:t xml:space="preserve"> :</w:t>
      </w:r>
      <w:proofErr w:type="gramEnd"/>
      <w:r>
        <w:t xml:space="preserve"> </w:t>
      </w:r>
    </w:p>
    <w:p w:rsidR="00E36CF0" w:rsidRDefault="00E36CF0" w:rsidP="00E36CF0">
      <w:r>
        <w:t>High Court bail order quashed.</w:t>
      </w:r>
    </w:p>
    <w:p w:rsidR="00E36CF0" w:rsidRDefault="00E36CF0" w:rsidP="00E36CF0">
      <w:r>
        <w:t>Respondent must surrender immediately.</w:t>
      </w:r>
    </w:p>
    <w:p w:rsidR="00E36CF0" w:rsidRDefault="00E36CF0" w:rsidP="00E36CF0">
      <w:r>
        <w:t>Bail to be reconsidered by High Court with fair procedure, respecting both accused’s rights and victims’ rights.</w:t>
      </w:r>
    </w:p>
    <w:p w:rsidR="00E36CF0" w:rsidRDefault="00E36CF0" w:rsidP="00E36CF0">
      <w:r>
        <w:t>Supreme Court did not express any opinion on merits of the case.</w:t>
      </w:r>
    </w:p>
    <w:p w:rsidR="00E36CF0" w:rsidRDefault="00E36CF0" w:rsidP="00E36CF0"/>
    <w:p w:rsidR="00E36CF0" w:rsidRDefault="00E36CF0" w:rsidP="00E36CF0">
      <w:r>
        <w:t>2. Decided On: 01.02.2024</w:t>
      </w:r>
    </w:p>
    <w:p w:rsidR="00E36CF0" w:rsidRDefault="00E36CF0" w:rsidP="00E36CF0"/>
    <w:p w:rsidR="00E36CF0" w:rsidRDefault="00E36CF0" w:rsidP="00E36CF0">
      <w:r>
        <w:t xml:space="preserve">Jitendra Kumar Vs. The State of Jharkhand and </w:t>
      </w:r>
      <w:proofErr w:type="spellStart"/>
      <w:r>
        <w:t>ors</w:t>
      </w:r>
      <w:proofErr w:type="spellEnd"/>
      <w:r>
        <w:t>.</w:t>
      </w:r>
    </w:p>
    <w:p w:rsidR="00E36CF0" w:rsidRDefault="00E36CF0" w:rsidP="00E36CF0"/>
    <w:p w:rsidR="00E36CF0" w:rsidRDefault="00E36CF0" w:rsidP="00E36CF0">
      <w:r>
        <w:t>Hon'ble Judges/Coram:</w:t>
      </w:r>
    </w:p>
    <w:p w:rsidR="00E36CF0" w:rsidRDefault="00E36CF0" w:rsidP="00E36CF0"/>
    <w:p w:rsidR="00E36CF0" w:rsidRDefault="00E36CF0" w:rsidP="00E36CF0">
      <w:r>
        <w:t xml:space="preserve"> : MANU/JH/0123/2024</w:t>
      </w:r>
    </w:p>
    <w:p w:rsidR="00E36CF0" w:rsidRDefault="00E36CF0" w:rsidP="00E36CF0"/>
    <w:p w:rsidR="00E36CF0" w:rsidRDefault="00E36CF0" w:rsidP="00E36CF0">
      <w:r>
        <w:t>The Supreme Court emphasised that:</w:t>
      </w:r>
    </w:p>
    <w:p w:rsidR="00E36CF0" w:rsidRDefault="00E36CF0" w:rsidP="00E36CF0"/>
    <w:p w:rsidR="00E36CF0" w:rsidRDefault="00E36CF0" w:rsidP="00E36CF0">
      <w:r>
        <w:t xml:space="preserve">“In prosecutions for offences under Section 376 IPC, notice to the victim and opportunity of hearing is mandatory under Section 439(1A) </w:t>
      </w:r>
      <w:proofErr w:type="spellStart"/>
      <w:r>
        <w:t>CrPC</w:t>
      </w:r>
      <w:proofErr w:type="spellEnd"/>
      <w:r>
        <w:t>.”</w:t>
      </w:r>
    </w:p>
    <w:p w:rsidR="00E36CF0" w:rsidRDefault="00E36CF0" w:rsidP="00E36CF0">
      <w:r>
        <w:t>This is now settled law:</w:t>
      </w:r>
    </w:p>
    <w:p w:rsidR="00E36CF0" w:rsidRDefault="00E36CF0" w:rsidP="00E36CF0">
      <w:r>
        <w:t>Victim’s objection is not a formality — it is a substantive, enforceable right.</w:t>
      </w:r>
    </w:p>
    <w:p w:rsidR="00E36CF0" w:rsidRDefault="00E36CF0" w:rsidP="00E36CF0">
      <w:r>
        <w:t>Hence, bail granted in sexual offences without hearing the victim = illegal and liable to be set aside.</w:t>
      </w:r>
    </w:p>
    <w:p w:rsidR="00E36CF0" w:rsidRDefault="00E36CF0" w:rsidP="00E36CF0"/>
    <w:p w:rsidR="00E36CF0" w:rsidRDefault="00E36CF0" w:rsidP="00E36CF0"/>
    <w:p w:rsidR="00E36CF0" w:rsidRDefault="00E36CF0" w:rsidP="00E36CF0"/>
    <w:p w:rsidR="00E36CF0" w:rsidRDefault="00E36CF0" w:rsidP="00E36CF0"/>
    <w:p w:rsidR="00E36CF0" w:rsidRDefault="00E36CF0" w:rsidP="00E36CF0">
      <w:r>
        <w:lastRenderedPageBreak/>
        <w:t>3. Decided On: 19.02.2020</w:t>
      </w:r>
    </w:p>
    <w:p w:rsidR="00E36CF0" w:rsidRDefault="00E36CF0" w:rsidP="00E36CF0">
      <w:proofErr w:type="spellStart"/>
      <w:r>
        <w:t>Prem</w:t>
      </w:r>
      <w:proofErr w:type="spellEnd"/>
      <w:r>
        <w:t xml:space="preserve"> Singh Vs. State of Himachal Pradesh</w:t>
      </w:r>
    </w:p>
    <w:p w:rsidR="00E36CF0" w:rsidRDefault="00E36CF0" w:rsidP="00E36CF0">
      <w:proofErr w:type="spellStart"/>
      <w:r>
        <w:t>Prem</w:t>
      </w:r>
      <w:proofErr w:type="spellEnd"/>
      <w:r>
        <w:t xml:space="preserve"> Singh vs. State of Himachal Pradesh (19.02.2020 - HPHC</w:t>
      </w:r>
      <w:proofErr w:type="gramStart"/>
      <w:r>
        <w:t>) :</w:t>
      </w:r>
      <w:proofErr w:type="gramEnd"/>
      <w:r>
        <w:t xml:space="preserve"> MANU/HP/0200/2020</w:t>
      </w:r>
    </w:p>
    <w:p w:rsidR="00E36CF0" w:rsidRDefault="00E36CF0" w:rsidP="00E36CF0"/>
    <w:p w:rsidR="00E36CF0" w:rsidRDefault="00E36CF0" w:rsidP="00E36CF0">
      <w:r>
        <w:t>Supreme Court: Bail order set aside because High Court ignored the complainant/victim’s objections &amp; material factors</w:t>
      </w:r>
    </w:p>
    <w:p w:rsidR="00E36CF0" w:rsidRDefault="00E36CF0" w:rsidP="00E36CF0"/>
    <w:p w:rsidR="00E36CF0" w:rsidRDefault="00E36CF0" w:rsidP="00E36CF0">
      <w:r>
        <w:t>This case is one of the strongest authorities where the Supreme Court quashes a bail order because:</w:t>
      </w:r>
    </w:p>
    <w:p w:rsidR="00E36CF0" w:rsidRDefault="00E36CF0" w:rsidP="00E36CF0">
      <w:r>
        <w:t>The High Court ignored crucial objections raised (by the complainant &amp; prosecution).</w:t>
      </w:r>
    </w:p>
    <w:p w:rsidR="00E36CF0" w:rsidRDefault="00E36CF0" w:rsidP="00E36CF0">
      <w:r>
        <w:t>The High Court failed to consider accused’s criminal history.</w:t>
      </w:r>
    </w:p>
    <w:p w:rsidR="00E36CF0" w:rsidRDefault="00E36CF0" w:rsidP="00E36CF0">
      <w:r>
        <w:t>The High Court granted bail mechanically on parity.</w:t>
      </w:r>
    </w:p>
    <w:p w:rsidR="00E36CF0" w:rsidRDefault="00E36CF0" w:rsidP="00E36CF0">
      <w:r>
        <w:t>The Supreme Court emphasised that danger to witnesses &amp; complainant must be given full weight.</w:t>
      </w:r>
    </w:p>
    <w:p w:rsidR="00E36CF0" w:rsidRDefault="00E36CF0" w:rsidP="00E36CF0">
      <w:r>
        <w:t>This directly supports the principle:</w:t>
      </w:r>
    </w:p>
    <w:p w:rsidR="00E36CF0" w:rsidRDefault="00E36CF0" w:rsidP="00E36CF0">
      <w:r>
        <w:t>A complainant/victim has a right to place objections, and courts must meaningfully consider them before granting bail.</w:t>
      </w:r>
    </w:p>
    <w:p w:rsidR="00E36CF0" w:rsidRDefault="00E36CF0" w:rsidP="00E36CF0"/>
    <w:p w:rsidR="00E36CF0" w:rsidRDefault="00E36CF0" w:rsidP="00E36CF0">
      <w:r>
        <w:t>4. Decided On: 03.05.2001</w:t>
      </w:r>
    </w:p>
    <w:p w:rsidR="00E36CF0" w:rsidRDefault="00E36CF0" w:rsidP="00E36CF0">
      <w:proofErr w:type="spellStart"/>
      <w:r>
        <w:t>Puran</w:t>
      </w:r>
      <w:proofErr w:type="spellEnd"/>
      <w:r>
        <w:t xml:space="preserve"> and </w:t>
      </w:r>
      <w:proofErr w:type="spellStart"/>
      <w:r>
        <w:t>Ors</w:t>
      </w:r>
      <w:proofErr w:type="spellEnd"/>
      <w:r>
        <w:t xml:space="preserve">. Vs. </w:t>
      </w:r>
      <w:proofErr w:type="spellStart"/>
      <w:r>
        <w:t>Rambilas</w:t>
      </w:r>
      <w:proofErr w:type="spellEnd"/>
      <w:r>
        <w:t xml:space="preserve"> and </w:t>
      </w:r>
      <w:proofErr w:type="spellStart"/>
      <w:r>
        <w:t>Ors</w:t>
      </w:r>
      <w:proofErr w:type="spellEnd"/>
      <w:r>
        <w:t>.</w:t>
      </w:r>
    </w:p>
    <w:p w:rsidR="00E36CF0" w:rsidRDefault="00E36CF0" w:rsidP="00E36CF0">
      <w:r>
        <w:t xml:space="preserve"> : MANU/SC/0326/</w:t>
      </w:r>
    </w:p>
    <w:p w:rsidR="00E36CF0" w:rsidRDefault="00E36CF0" w:rsidP="00E36CF0"/>
    <w:p w:rsidR="00E36CF0" w:rsidRDefault="00E36CF0" w:rsidP="00E36CF0"/>
    <w:p w:rsidR="00E36CF0" w:rsidRDefault="00E36CF0" w:rsidP="00E36CF0">
      <w:proofErr w:type="spellStart"/>
      <w:r>
        <w:t>Puran</w:t>
      </w:r>
      <w:proofErr w:type="spellEnd"/>
      <w:r>
        <w:t xml:space="preserve"> v. </w:t>
      </w:r>
      <w:proofErr w:type="spellStart"/>
      <w:r>
        <w:t>Rambilas</w:t>
      </w:r>
      <w:proofErr w:type="spellEnd"/>
      <w:r>
        <w:t xml:space="preserve"> (MANU/SC/0326/2001)</w:t>
      </w:r>
    </w:p>
    <w:p w:rsidR="00E36CF0" w:rsidRDefault="00E36CF0" w:rsidP="00E36CF0"/>
    <w:p w:rsidR="00E36CF0" w:rsidRDefault="00E36CF0" w:rsidP="00E36CF0">
      <w:r>
        <w:t>“Power under Section 439(2) can be invoked not only by the State but by any aggrieved party.”</w:t>
      </w:r>
    </w:p>
    <w:p w:rsidR="00E36CF0" w:rsidRDefault="00E36CF0" w:rsidP="00E36CF0">
      <w:r>
        <w:t>“Complainant is not a stranger; he has every right to move for cancellation of bail.”</w:t>
      </w:r>
    </w:p>
    <w:p w:rsidR="00E36CF0" w:rsidRDefault="00E36CF0" w:rsidP="00E36CF0">
      <w:r>
        <w:t>“High Court can cancel bail where the order granting bail is vitiated by serious infirmity.”</w:t>
      </w:r>
    </w:p>
    <w:p w:rsidR="00E36CF0" w:rsidRDefault="00E36CF0" w:rsidP="00E36CF0"/>
    <w:p w:rsidR="00E36CF0" w:rsidRDefault="00E36CF0" w:rsidP="00E36CF0">
      <w:r>
        <w:t>These lines directly help to reflect that:</w:t>
      </w:r>
    </w:p>
    <w:p w:rsidR="00E36CF0" w:rsidRDefault="00E36CF0" w:rsidP="00E36CF0"/>
    <w:p w:rsidR="00E36CF0" w:rsidRDefault="00E36CF0" w:rsidP="00E36CF0">
      <w:r>
        <w:t>Before granting bail, court must hear complainant.</w:t>
      </w:r>
    </w:p>
    <w:p w:rsidR="00E36CF0" w:rsidRDefault="00E36CF0" w:rsidP="00E36CF0">
      <w:r>
        <w:t>If complainant’s objections were not considered, the bail order is illegal.</w:t>
      </w:r>
    </w:p>
    <w:p w:rsidR="00E36CF0" w:rsidRDefault="00E36CF0" w:rsidP="00E36CF0"/>
    <w:p w:rsidR="00E36CF0" w:rsidRDefault="00E36CF0" w:rsidP="00E36CF0"/>
    <w:p w:rsidR="00E36CF0" w:rsidRDefault="00E36CF0" w:rsidP="00E36CF0">
      <w:r>
        <w:t>5. Decided On: 26.09.2025</w:t>
      </w:r>
    </w:p>
    <w:p w:rsidR="00E36CF0" w:rsidRDefault="00E36CF0" w:rsidP="00E36CF0">
      <w:proofErr w:type="spellStart"/>
      <w:r>
        <w:t>Pallabi</w:t>
      </w:r>
      <w:proofErr w:type="spellEnd"/>
      <w:r>
        <w:t xml:space="preserve"> </w:t>
      </w:r>
      <w:proofErr w:type="spellStart"/>
      <w:r>
        <w:t>Shil</w:t>
      </w:r>
      <w:proofErr w:type="spellEnd"/>
      <w:r>
        <w:t xml:space="preserve"> Vs. The State of Tripura and </w:t>
      </w:r>
      <w:proofErr w:type="spellStart"/>
      <w:r>
        <w:t>Ors</w:t>
      </w:r>
      <w:proofErr w:type="spellEnd"/>
      <w:r>
        <w:t>.</w:t>
      </w:r>
    </w:p>
    <w:p w:rsidR="00E36CF0" w:rsidRDefault="00E36CF0" w:rsidP="00E36CF0">
      <w:r>
        <w:t xml:space="preserve"> : MANU/TR/0299/2025</w:t>
      </w:r>
    </w:p>
    <w:p w:rsidR="00E36CF0" w:rsidRDefault="00E36CF0" w:rsidP="00E36CF0"/>
    <w:p w:rsidR="00E36CF0" w:rsidRDefault="00E36CF0" w:rsidP="00E36CF0"/>
    <w:p w:rsidR="00E36CF0" w:rsidRDefault="00E36CF0" w:rsidP="00E36CF0">
      <w:r>
        <w:t>The application was filed under Section 483(3) of the BNSS, 2023 (</w:t>
      </w:r>
      <w:proofErr w:type="spellStart"/>
      <w:r>
        <w:t>Bharatiya</w:t>
      </w:r>
      <w:proofErr w:type="spellEnd"/>
      <w:r>
        <w:t xml:space="preserve"> </w:t>
      </w:r>
      <w:proofErr w:type="spellStart"/>
      <w:r>
        <w:t>Nagarik</w:t>
      </w:r>
      <w:proofErr w:type="spellEnd"/>
      <w:r>
        <w:t xml:space="preserve"> Suraksha </w:t>
      </w:r>
      <w:proofErr w:type="spellStart"/>
      <w:r>
        <w:t>Sanhita</w:t>
      </w:r>
      <w:proofErr w:type="spellEnd"/>
      <w:r>
        <w:t xml:space="preserve">). </w:t>
      </w:r>
    </w:p>
    <w:p w:rsidR="00E36CF0" w:rsidRDefault="00E36CF0" w:rsidP="00E36CF0">
      <w:r>
        <w:t>This is a bail cancellation / revocation application (i.e., challenging the bail already granted).</w:t>
      </w:r>
    </w:p>
    <w:p w:rsidR="00E36CF0" w:rsidRDefault="00E36CF0" w:rsidP="00E36CF0"/>
    <w:p w:rsidR="00E36CF0" w:rsidRDefault="00E36CF0" w:rsidP="00E36CF0">
      <w:r>
        <w:t>Victim’s Right to Be Heard</w:t>
      </w:r>
    </w:p>
    <w:p w:rsidR="00E36CF0" w:rsidRDefault="00E36CF0" w:rsidP="00E36CF0">
      <w:r>
        <w:t xml:space="preserve">The High Court strongly affirmed the victim’s participatory rights. </w:t>
      </w:r>
    </w:p>
    <w:p w:rsidR="00E36CF0" w:rsidRDefault="00E36CF0" w:rsidP="00E36CF0">
      <w:r>
        <w:t xml:space="preserve">The Court held that the rights of a “victim” (distinct from a complainant or informant) are substantive and enforceable; they are not merely accessory to the State’s role. </w:t>
      </w:r>
    </w:p>
    <w:p w:rsidR="00E36CF0" w:rsidRDefault="00E36CF0" w:rsidP="00E36CF0">
      <w:r>
        <w:t>The Court explicitly said that a victim has a legally vested right to be heard at every step after the occurrence of the offense, including at the time of bail grant or cancellation.</w:t>
      </w:r>
    </w:p>
    <w:p w:rsidR="00E36CF0" w:rsidRDefault="00E36CF0" w:rsidP="00E36CF0"/>
    <w:p w:rsidR="00E36CF0" w:rsidRDefault="00E36CF0" w:rsidP="00E36CF0"/>
    <w:p w:rsidR="00E36CF0" w:rsidRDefault="00E36CF0" w:rsidP="00E36CF0"/>
    <w:p w:rsidR="00E36CF0" w:rsidRDefault="00E36CF0" w:rsidP="00E36CF0">
      <w:r>
        <w:t>6. XXX vs. The State (04.09.2025 - CALHC)</w:t>
      </w:r>
    </w:p>
    <w:p w:rsidR="00E36CF0" w:rsidRDefault="00E36CF0" w:rsidP="00E36CF0">
      <w:r>
        <w:t>MANU/WB/1964/2025</w:t>
      </w:r>
    </w:p>
    <w:p w:rsidR="00E36CF0" w:rsidRDefault="00E36CF0" w:rsidP="00E36CF0">
      <w:r>
        <w:t xml:space="preserve">It addresses the victim's right to be heard in bail proceedings under the new </w:t>
      </w:r>
      <w:proofErr w:type="spellStart"/>
      <w:r>
        <w:t>Bharatiya</w:t>
      </w:r>
      <w:proofErr w:type="spellEnd"/>
      <w:r>
        <w:t xml:space="preserve"> </w:t>
      </w:r>
      <w:proofErr w:type="spellStart"/>
      <w:r>
        <w:t>Nagarik</w:t>
      </w:r>
      <w:proofErr w:type="spellEnd"/>
      <w:r>
        <w:t xml:space="preserve"> Suraksha </w:t>
      </w:r>
      <w:proofErr w:type="spellStart"/>
      <w:r>
        <w:t>Sanhita</w:t>
      </w:r>
      <w:proofErr w:type="spellEnd"/>
      <w:r>
        <w:t xml:space="preserve"> (BNSS), 2023. </w:t>
      </w:r>
    </w:p>
    <w:p w:rsidR="00E36CF0" w:rsidRDefault="00E36CF0" w:rsidP="00E36CF0">
      <w:r>
        <w:t xml:space="preserve">It specifically </w:t>
      </w:r>
      <w:proofErr w:type="spellStart"/>
      <w:r>
        <w:t>analyzes</w:t>
      </w:r>
      <w:proofErr w:type="spellEnd"/>
      <w:r>
        <w:t xml:space="preserve"> Section 483(2) BNSS, which mandates affording the informant/victim an opportunity of being heard in bail applications for sexual offenses involving minors. </w:t>
      </w:r>
    </w:p>
    <w:p w:rsidR="00E36CF0" w:rsidRDefault="00E36CF0" w:rsidP="00E36CF0">
      <w:r>
        <w:t xml:space="preserve">The case establishes that failure to provide such an opportunity renders the bail order unsustainable, directly aligning with the 'victim right bail BNSS' aspect of the query. </w:t>
      </w:r>
    </w:p>
    <w:p w:rsidR="00E36CF0" w:rsidRDefault="00E36CF0" w:rsidP="00E36CF0">
      <w:r>
        <w:t>While it doesn't mention BNSS Section 383, it discusses the overarching victim participation rights under the new code, which is a core aspect of the query.</w:t>
      </w:r>
    </w:p>
    <w:p w:rsidR="00E36CF0" w:rsidRDefault="00E36CF0" w:rsidP="00E36CF0"/>
    <w:p w:rsidR="00E36CF0" w:rsidRDefault="00E36CF0" w:rsidP="00E36CF0"/>
    <w:p w:rsidR="00E36CF0" w:rsidRDefault="00E36CF0" w:rsidP="00E36CF0"/>
    <w:p w:rsidR="00E36CF0" w:rsidRDefault="00E36CF0" w:rsidP="00E36CF0"/>
    <w:p w:rsidR="00E36CF0" w:rsidRDefault="00E36CF0" w:rsidP="00E36CF0">
      <w:r>
        <w:lastRenderedPageBreak/>
        <w:t xml:space="preserve">7.  </w:t>
      </w:r>
      <w:proofErr w:type="spellStart"/>
      <w:r>
        <w:t>Gauhati</w:t>
      </w:r>
      <w:proofErr w:type="spellEnd"/>
      <w:r>
        <w:t xml:space="preserve"> High Court </w:t>
      </w:r>
      <w:proofErr w:type="spellStart"/>
      <w:r>
        <w:t>Itanagar</w:t>
      </w:r>
      <w:proofErr w:type="spellEnd"/>
      <w:r>
        <w:t xml:space="preserve"> Permanent Bench vs. </w:t>
      </w:r>
      <w:proofErr w:type="spellStart"/>
      <w:r>
        <w:t>Bulang</w:t>
      </w:r>
      <w:proofErr w:type="spellEnd"/>
      <w:r>
        <w:t xml:space="preserve"> </w:t>
      </w:r>
      <w:proofErr w:type="spellStart"/>
      <w:r>
        <w:t>Marik</w:t>
      </w:r>
      <w:proofErr w:type="spellEnd"/>
      <w:r>
        <w:t xml:space="preserve"> (19.05.2025 - GUHC)</w:t>
      </w:r>
    </w:p>
    <w:p w:rsidR="00E36CF0" w:rsidRDefault="00E36CF0" w:rsidP="00E36CF0">
      <w:r>
        <w:t>Citation: MANU/GH/0307/2025</w:t>
      </w:r>
    </w:p>
    <w:p w:rsidR="00E36CF0" w:rsidRDefault="00E36CF0" w:rsidP="00E36CF0">
      <w:r>
        <w:t xml:space="preserve">It involves a </w:t>
      </w:r>
      <w:proofErr w:type="spellStart"/>
      <w:r>
        <w:t>suo</w:t>
      </w:r>
      <w:proofErr w:type="spellEnd"/>
      <w:r>
        <w:t xml:space="preserve"> </w:t>
      </w:r>
      <w:proofErr w:type="spellStart"/>
      <w:r>
        <w:t>motu</w:t>
      </w:r>
      <w:proofErr w:type="spellEnd"/>
      <w:r>
        <w:t xml:space="preserve"> proceeding by the High Court to review and potentially cancel bail orders granted without hearing the victims, in contravention of mandatory High Court guidelines. </w:t>
      </w:r>
    </w:p>
    <w:p w:rsidR="00E36CF0" w:rsidRDefault="00E36CF0" w:rsidP="00E36CF0">
      <w:r>
        <w:t xml:space="preserve">The case, though not explicitly citing BNSS Section 383, directly addresses the procedural fairness and victim participation in bail proceedings, particularly in serious offenses like those under the POCSO Act and Section 376 IPC. </w:t>
      </w:r>
    </w:p>
    <w:p w:rsidR="00E36CF0" w:rsidRDefault="00E36CF0" w:rsidP="00E36CF0">
      <w:r>
        <w:t>It reinforces the mandatory nature of victim hearing, aligning with the 'victim right bail' aspect of the query under the new legal regime.</w:t>
      </w:r>
    </w:p>
    <w:p w:rsidR="00E36CF0" w:rsidRDefault="00E36CF0" w:rsidP="00E36CF0"/>
    <w:p w:rsidR="00E36CF0" w:rsidRDefault="00E36CF0" w:rsidP="00E36CF0">
      <w:r>
        <w:t xml:space="preserve">8. XXX vs. </w:t>
      </w:r>
      <w:proofErr w:type="spellStart"/>
      <w:r>
        <w:t>Konisa</w:t>
      </w:r>
      <w:proofErr w:type="spellEnd"/>
      <w:r>
        <w:t xml:space="preserve"> Abhishek and </w:t>
      </w:r>
      <w:proofErr w:type="spellStart"/>
      <w:r>
        <w:t>Ors</w:t>
      </w:r>
      <w:proofErr w:type="spellEnd"/>
      <w:r>
        <w:t>. (06.05.2025 - APHC)</w:t>
      </w:r>
    </w:p>
    <w:p w:rsidR="00E36CF0" w:rsidRDefault="00E36CF0" w:rsidP="00E36CF0">
      <w:r>
        <w:t>Citation: MANU/AP/0749/2025</w:t>
      </w:r>
    </w:p>
    <w:p w:rsidR="00E36CF0" w:rsidRDefault="00E36CF0" w:rsidP="00E36CF0"/>
    <w:p w:rsidR="00E36CF0" w:rsidRDefault="00E36CF0" w:rsidP="00E36CF0">
      <w:r>
        <w:t>It directly deals with the cancellation of a bail order due to the failure to provide the victim an opportunity to be heard, as mandated by Section 15</w:t>
      </w:r>
      <w:proofErr w:type="gramStart"/>
      <w:r>
        <w:t>A(</w:t>
      </w:r>
      <w:proofErr w:type="gramEnd"/>
      <w:r>
        <w:t xml:space="preserve">3) of the Scheduled Castes and Scheduled Tribes (Prevention of Atrocities) Act, 1989. </w:t>
      </w:r>
    </w:p>
    <w:p w:rsidR="00E36CF0" w:rsidRDefault="00E36CF0" w:rsidP="00E36CF0">
      <w:r>
        <w:t>While it predates BNSS and refers to the SC/ST Act, the core legal issue of a victim's mandatory right to be heard in bail proceedings is directly applicable and provides strong precedential value for the 'victim right bail' aspect of the query, especially concerning special statutes.</w:t>
      </w:r>
    </w:p>
    <w:p w:rsidR="00E36CF0" w:rsidRDefault="00E36CF0" w:rsidP="00E36CF0"/>
    <w:p w:rsidR="00E36CF0" w:rsidRDefault="00E36CF0" w:rsidP="00E36CF0">
      <w:r>
        <w:t>9. Mahesh Kumar Agrawal vs. State of Chhattisgarh (20.12.2021 - CGHC)</w:t>
      </w:r>
    </w:p>
    <w:p w:rsidR="00E36CF0" w:rsidRDefault="00E36CF0" w:rsidP="00E36CF0">
      <w:r>
        <w:t>MANU/CG/0982/2021</w:t>
      </w:r>
    </w:p>
    <w:p w:rsidR="00E36CF0" w:rsidRDefault="00E36CF0" w:rsidP="00E36CF0"/>
    <w:p w:rsidR="00E36CF0" w:rsidRDefault="00E36CF0" w:rsidP="00E36CF0">
      <w:r>
        <w:t>It affirms the mandatory nature of Sections 15</w:t>
      </w:r>
      <w:proofErr w:type="gramStart"/>
      <w:r>
        <w:t>A(</w:t>
      </w:r>
      <w:proofErr w:type="gramEnd"/>
      <w:r>
        <w:t xml:space="preserve">3) and 15A(5) of the SC/ST Act, 1989, which grant victims a statutory right to receive notice and be heard in bail proceedings, including appeals. </w:t>
      </w:r>
    </w:p>
    <w:p w:rsidR="00E36CF0" w:rsidRDefault="00E36CF0" w:rsidP="00E36CF0">
      <w:r>
        <w:t>Although it predates BNSS, its emphasis on the mandatory nature of victim participation in bail matters under a special statute provides a strong analogous precedent for interpreting victim rights under BNSS, particularly concerning the 'victim right bail' aspect of the query.</w:t>
      </w:r>
    </w:p>
    <w:p w:rsidR="00E36CF0" w:rsidRDefault="00E36CF0" w:rsidP="00E36CF0"/>
    <w:p w:rsidR="00E36CF0" w:rsidRDefault="00E36CF0" w:rsidP="00E36CF0"/>
    <w:p w:rsidR="00E36CF0" w:rsidRDefault="00E36CF0" w:rsidP="00E36CF0"/>
    <w:p w:rsidR="00E36CF0" w:rsidRDefault="00E36CF0" w:rsidP="00E36CF0"/>
    <w:p w:rsidR="00E36CF0" w:rsidRDefault="00E36CF0" w:rsidP="00E36CF0"/>
    <w:p w:rsidR="00E36CF0" w:rsidRDefault="00E36CF0" w:rsidP="00E36CF0"/>
    <w:p w:rsidR="00E36CF0" w:rsidRDefault="00E36CF0" w:rsidP="00E36CF0"/>
    <w:p w:rsidR="00E36CF0" w:rsidRDefault="00E36CF0" w:rsidP="00E36CF0">
      <w:r>
        <w:lastRenderedPageBreak/>
        <w:t xml:space="preserve">10. X vs. The State of West Bengal and </w:t>
      </w:r>
      <w:proofErr w:type="spellStart"/>
      <w:r>
        <w:t>Ors</w:t>
      </w:r>
      <w:proofErr w:type="spellEnd"/>
      <w:r>
        <w:t>. (27.09.2024 - CALHC)</w:t>
      </w:r>
    </w:p>
    <w:p w:rsidR="00E36CF0" w:rsidRDefault="00E36CF0" w:rsidP="00E36CF0">
      <w:r>
        <w:t>Citation: MANU/WB/2191/2024</w:t>
      </w:r>
    </w:p>
    <w:p w:rsidR="00E36CF0" w:rsidRDefault="00E36CF0" w:rsidP="00E36CF0"/>
    <w:p w:rsidR="00E36CF0" w:rsidRDefault="00E36CF0" w:rsidP="00E36CF0">
      <w:r>
        <w:t xml:space="preserve">It addresses the victim's right to be informed of bail/anticipatory bail proceedings, especially in sexual offense cases, under the new BNSS regime. </w:t>
      </w:r>
    </w:p>
    <w:p w:rsidR="00E36CF0" w:rsidRDefault="00E36CF0" w:rsidP="00E36CF0">
      <w:r>
        <w:t xml:space="preserve">It highlights the violation of BNSS Section 483(1A) (which is analogous to the query's implied BNSS victim rights) when victims are not notified. </w:t>
      </w:r>
    </w:p>
    <w:p w:rsidR="00E36CF0" w:rsidRDefault="00E36CF0" w:rsidP="00E36CF0">
      <w:r>
        <w:t>The case underscores police misconduct in diluting charges and procedural lapses in bail grants, directly linking to 'victim right bail BNSS' by discussing the new code's provisions for victim protection.</w:t>
      </w:r>
    </w:p>
    <w:p w:rsidR="00E36CF0" w:rsidRDefault="00E36CF0" w:rsidP="00E36CF0"/>
    <w:p w:rsidR="00E36CF0" w:rsidRDefault="00E36CF0" w:rsidP="00E36CF0">
      <w:r>
        <w:t xml:space="preserve">11. Arvind </w:t>
      </w:r>
      <w:proofErr w:type="spellStart"/>
      <w:r>
        <w:t>Madhukar</w:t>
      </w:r>
      <w:proofErr w:type="spellEnd"/>
      <w:r>
        <w:t xml:space="preserve"> </w:t>
      </w:r>
      <w:proofErr w:type="spellStart"/>
      <w:r>
        <w:t>Payaji</w:t>
      </w:r>
      <w:proofErr w:type="spellEnd"/>
      <w:r>
        <w:t xml:space="preserve"> vs. Suryakant </w:t>
      </w:r>
      <w:proofErr w:type="spellStart"/>
      <w:r>
        <w:t>Narse</w:t>
      </w:r>
      <w:proofErr w:type="spellEnd"/>
      <w:r>
        <w:t xml:space="preserve"> and </w:t>
      </w:r>
      <w:proofErr w:type="spellStart"/>
      <w:r>
        <w:t>Ors</w:t>
      </w:r>
      <w:proofErr w:type="spellEnd"/>
      <w:r>
        <w:t>. (23.06.2021 - BOMHC)</w:t>
      </w:r>
    </w:p>
    <w:p w:rsidR="00E36CF0" w:rsidRDefault="00E36CF0" w:rsidP="00E36CF0">
      <w:r>
        <w:t>Citation: MANU/MH/1556/2021</w:t>
      </w:r>
    </w:p>
    <w:p w:rsidR="00E36CF0" w:rsidRDefault="00E36CF0" w:rsidP="00E36CF0"/>
    <w:p w:rsidR="00E36CF0" w:rsidRDefault="00E36CF0" w:rsidP="00E36CF0">
      <w:r>
        <w:t xml:space="preserve">It clarifies the scope of a victim's right to participate in regular bail applications under the </w:t>
      </w:r>
      <w:proofErr w:type="spellStart"/>
      <w:r>
        <w:t>CrPC</w:t>
      </w:r>
      <w:proofErr w:type="spellEnd"/>
      <w:r>
        <w:t xml:space="preserve">, specifically whether they can make direct oral submissions. </w:t>
      </w:r>
    </w:p>
    <w:p w:rsidR="00E36CF0" w:rsidRDefault="00E36CF0" w:rsidP="00E36CF0">
      <w:r>
        <w:t xml:space="preserve">While it predates BNSS, its detailed analysis of the Public Prosecutor's role and the victim's 'assistance' role under Section 301(2) </w:t>
      </w:r>
      <w:proofErr w:type="spellStart"/>
      <w:r>
        <w:t>CrPC</w:t>
      </w:r>
      <w:proofErr w:type="spellEnd"/>
      <w:r>
        <w:t xml:space="preserve"> provides foundational understanding of victim participation, which is crucial for interpreting similar provisions or the spirit of victim rights under BNSS. </w:t>
      </w:r>
    </w:p>
    <w:p w:rsidR="00E36CF0" w:rsidRDefault="00E36CF0" w:rsidP="00E36CF0">
      <w:r>
        <w:t>It directly addresses the 'victim right bail' aspect by defining the boundaries of victim intervention.</w:t>
      </w:r>
    </w:p>
    <w:p w:rsidR="00E36CF0" w:rsidRDefault="00E36CF0" w:rsidP="00E36CF0"/>
    <w:p w:rsidR="00E36CF0" w:rsidRDefault="00E36CF0" w:rsidP="00E36CF0">
      <w:r>
        <w:t xml:space="preserve">12. Ashok </w:t>
      </w:r>
      <w:proofErr w:type="spellStart"/>
      <w:r>
        <w:t>Govindram</w:t>
      </w:r>
      <w:proofErr w:type="spellEnd"/>
      <w:r>
        <w:t xml:space="preserve"> </w:t>
      </w:r>
      <w:proofErr w:type="spellStart"/>
      <w:r>
        <w:t>Hurra</w:t>
      </w:r>
      <w:proofErr w:type="spellEnd"/>
      <w:r>
        <w:t xml:space="preserve"> vs. State of Gujarat and </w:t>
      </w:r>
      <w:proofErr w:type="spellStart"/>
      <w:r>
        <w:t>Ors</w:t>
      </w:r>
      <w:proofErr w:type="spellEnd"/>
      <w:r>
        <w:t>. (26.12.2011 - GUJHC)</w:t>
      </w:r>
    </w:p>
    <w:p w:rsidR="00E36CF0" w:rsidRDefault="00E36CF0" w:rsidP="00E36CF0">
      <w:r>
        <w:t>Citation: MANU/GJ/1712/2011</w:t>
      </w:r>
    </w:p>
    <w:p w:rsidR="00E36CF0" w:rsidRDefault="00E36CF0" w:rsidP="00E36CF0"/>
    <w:p w:rsidR="00E36CF0" w:rsidRDefault="00E36CF0" w:rsidP="00E36CF0">
      <w:r>
        <w:t xml:space="preserve">It addresses the locus </w:t>
      </w:r>
      <w:proofErr w:type="spellStart"/>
      <w:r>
        <w:t>standi</w:t>
      </w:r>
      <w:proofErr w:type="spellEnd"/>
      <w:r>
        <w:t xml:space="preserve"> of a complainant to oppose an anticipatory bail application and make oral submissions to assist the Public Prosecutor. </w:t>
      </w:r>
    </w:p>
    <w:p w:rsidR="00E36CF0" w:rsidRDefault="00E36CF0" w:rsidP="00E36CF0">
      <w:r>
        <w:t xml:space="preserve">Although it refers to </w:t>
      </w:r>
      <w:proofErr w:type="spellStart"/>
      <w:r>
        <w:t>CrPC</w:t>
      </w:r>
      <w:proofErr w:type="spellEnd"/>
      <w:r>
        <w:t xml:space="preserve"> Section 24(8) and predates BNSS, the underlying principle of allowing victims/complainants to present factual aspects in bail hearings is directly applicable to the 'victim right bail' aspect of the query. It provides a historical context for the evolution of victim participation rights in bail matters.</w:t>
      </w:r>
    </w:p>
    <w:p w:rsidR="00E36CF0" w:rsidRDefault="00E36CF0" w:rsidP="00E36CF0"/>
    <w:p w:rsidR="00E36CF0" w:rsidRDefault="00E36CF0" w:rsidP="00E36CF0"/>
    <w:p w:rsidR="00E36CF0" w:rsidRDefault="00E36CF0" w:rsidP="00E36CF0"/>
    <w:p w:rsidR="00E36CF0" w:rsidRDefault="00E36CF0" w:rsidP="00E36CF0"/>
    <w:p w:rsidR="00E36CF0" w:rsidRDefault="00E36CF0" w:rsidP="00E36CF0">
      <w:r>
        <w:lastRenderedPageBreak/>
        <w:t>13. Basheer vs. State of Kerala (18.03.2020 - KERHC)</w:t>
      </w:r>
    </w:p>
    <w:p w:rsidR="00E36CF0" w:rsidRDefault="00E36CF0" w:rsidP="00E36CF0">
      <w:r>
        <w:t>Citation: MANU/KE/1481/2020</w:t>
      </w:r>
    </w:p>
    <w:p w:rsidR="00E36CF0" w:rsidRDefault="00E36CF0" w:rsidP="00E36CF0"/>
    <w:p w:rsidR="00E36CF0" w:rsidRDefault="00E36CF0" w:rsidP="00E36CF0">
      <w:r>
        <w:t>Victim's right to be heard under Section 15</w:t>
      </w:r>
      <w:proofErr w:type="gramStart"/>
      <w:r>
        <w:t>A(</w:t>
      </w:r>
      <w:proofErr w:type="gramEnd"/>
      <w:r>
        <w:t xml:space="preserve">5) of the SC/ST Act in bail proceedings for </w:t>
      </w:r>
      <w:proofErr w:type="spellStart"/>
      <w:r>
        <w:t>bailable</w:t>
      </w:r>
      <w:proofErr w:type="spellEnd"/>
      <w:r>
        <w:t xml:space="preserve"> offenses. </w:t>
      </w:r>
    </w:p>
    <w:p w:rsidR="00E36CF0" w:rsidRDefault="00E36CF0" w:rsidP="00E36CF0">
      <w:r>
        <w:t xml:space="preserve">While it concludes that victim hearing is not mandatory for </w:t>
      </w:r>
      <w:proofErr w:type="spellStart"/>
      <w:r>
        <w:t>bailable</w:t>
      </w:r>
      <w:proofErr w:type="spellEnd"/>
      <w:r>
        <w:t xml:space="preserve"> offenses where the accused has an absolute right to bail, it directly engages with the 'victim right bail' issue. </w:t>
      </w:r>
    </w:p>
    <w:p w:rsidR="004C27C2" w:rsidRDefault="00E36CF0" w:rsidP="00E36CF0">
      <w:r>
        <w:t>This case helps define the limits of victim participation, which is an important aspect of understanding the full scope of victim rights in bail under any procedural code, including BNSS.</w:t>
      </w:r>
      <w:bookmarkStart w:id="0" w:name="_GoBack"/>
      <w:bookmarkEnd w:id="0"/>
    </w:p>
    <w:sectPr w:rsidR="004C2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CF0"/>
    <w:rsid w:val="001B66C2"/>
    <w:rsid w:val="00E36CF0"/>
    <w:rsid w:val="00FE5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84ED"/>
  <w15:chartTrackingRefBased/>
  <w15:docId w15:val="{2C9019B1-87C9-462C-8F78-B7DFE1AA9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1196</Words>
  <Characters>6818</Characters>
  <Application>Microsoft Office Word</Application>
  <DocSecurity>0</DocSecurity>
  <Lines>56</Lines>
  <Paragraphs>15</Paragraphs>
  <ScaleCrop>false</ScaleCrop>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Gupta</dc:creator>
  <cp:keywords/>
  <dc:description/>
  <cp:lastModifiedBy>Yash Gupta</cp:lastModifiedBy>
  <cp:revision>1</cp:revision>
  <dcterms:created xsi:type="dcterms:W3CDTF">2025-12-07T05:35:00Z</dcterms:created>
  <dcterms:modified xsi:type="dcterms:W3CDTF">2025-12-07T05:36:00Z</dcterms:modified>
</cp:coreProperties>
</file>