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pPr>
      <w:r>
        <w:rPr>
          <w:b/>
          <w:color w:val="7C642F"/>
          <w:sz w:val="24"/>
        </w:rPr>
        <w:t>CLAIMCODA</w:t>
      </w:r>
    </w:p>
    <w:p>
      <w:pPr>
        <w:pStyle w:val="Title"/>
      </w:pPr>
      <w:r>
        <w:t>Business Case</w:t>
      </w:r>
    </w:p>
    <w:p>
      <w:pPr>
        <w:spacing w:after="360"/>
      </w:pPr>
      <w:r>
        <w:rPr>
          <w:i/>
          <w:color w:val="706C64"/>
          <w:sz w:val="28"/>
        </w:rPr>
        <w:t>Turn a confusing health-insurance denial into a clear, evidence-backed next step.</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1A1916"/>
            <w:vAlign w:val="center"/>
          </w:tcPr>
          <w:p>
            <w:r>
              <w:rPr>
                <w:b/>
                <w:color w:val="F3EFE6"/>
                <w:sz w:val="16"/>
              </w:rPr>
              <w:t>BUILD APPROACH</w:t>
            </w:r>
          </w:p>
        </w:tc>
        <w:tc>
          <w:tcPr>
            <w:tcW w:type="dxa" w:w="5141"/>
            <w:shd w:fill="1A1916"/>
            <w:vAlign w:val="center"/>
          </w:tcPr>
          <w:p>
            <w:r>
              <w:rPr>
                <w:b/>
                <w:color w:val="F3EFE6"/>
                <w:sz w:val="16"/>
              </w:rPr>
              <w:t>DIRECTION</w:t>
            </w:r>
          </w:p>
        </w:tc>
      </w:tr>
      <w:tr>
        <w:tc>
          <w:tcPr>
            <w:tcW w:type="dxa" w:w="5141"/>
            <w:shd w:fill="1A1916"/>
            <w:vAlign w:val="top"/>
          </w:tcPr>
          <w:p>
            <w:pPr>
              <w:spacing w:after="20"/>
            </w:pPr>
            <w:r>
              <w:rPr>
                <w:b/>
                <w:color w:val="F3EFE6"/>
                <w:sz w:val="15"/>
              </w:rPr>
              <w:t>Workflow</w:t>
            </w:r>
          </w:p>
        </w:tc>
        <w:tc>
          <w:tcPr>
            <w:tcW w:type="dxa" w:w="5141"/>
            <w:shd w:fill="FFFFFF"/>
            <w:vAlign w:val="top"/>
          </w:tcPr>
          <w:p>
            <w:pPr>
              <w:spacing w:after="20"/>
            </w:pPr>
            <w:r>
              <w:rPr>
                <w:sz w:val="16"/>
              </w:rPr>
              <w:t>Google AI Studio first -&gt; GitHub -&gt; Claude Code / Antigravity -&gt; production cloud</w:t>
            </w:r>
          </w:p>
        </w:tc>
      </w:tr>
      <w:tr>
        <w:tc>
          <w:tcPr>
            <w:tcW w:type="dxa" w:w="5141"/>
            <w:shd w:fill="1A1916"/>
            <w:vAlign w:val="top"/>
          </w:tcPr>
          <w:p>
            <w:pPr>
              <w:spacing w:after="20"/>
            </w:pPr>
            <w:r>
              <w:rPr>
                <w:b/>
                <w:color w:val="F3EFE6"/>
                <w:sz w:val="15"/>
              </w:rPr>
              <w:t>Visual family</w:t>
            </w:r>
          </w:p>
        </w:tc>
        <w:tc>
          <w:tcPr>
            <w:tcW w:type="dxa" w:w="5141"/>
            <w:shd w:fill="F7F4EE"/>
            <w:vAlign w:val="top"/>
          </w:tcPr>
          <w:p>
            <w:pPr>
              <w:spacing w:after="20"/>
            </w:pPr>
            <w:r>
              <w:rPr>
                <w:sz w:val="16"/>
              </w:rPr>
              <w:t>Fair &amp; Square matte black/deep charcoal + restrained dark gold + ivory</w:t>
            </w:r>
          </w:p>
        </w:tc>
      </w:tr>
      <w:tr>
        <w:tc>
          <w:tcPr>
            <w:tcW w:type="dxa" w:w="5141"/>
            <w:shd w:fill="1A1916"/>
            <w:vAlign w:val="top"/>
          </w:tcPr>
          <w:p>
            <w:pPr>
              <w:spacing w:after="20"/>
            </w:pPr>
            <w:r>
              <w:rPr>
                <w:b/>
                <w:color w:val="F3EFE6"/>
                <w:sz w:val="15"/>
              </w:rPr>
              <w:t>Signature motion</w:t>
            </w:r>
          </w:p>
        </w:tc>
        <w:tc>
          <w:tcPr>
            <w:tcW w:type="dxa" w:w="5141"/>
            <w:shd w:fill="FFFFFF"/>
            <w:vAlign w:val="top"/>
          </w:tcPr>
          <w:p>
            <w:pPr>
              <w:spacing w:after="20"/>
            </w:pPr>
            <w:r>
              <w:rPr>
                <w:sz w:val="16"/>
              </w:rPr>
              <w:t>Appeal Path: thin matte-gold document threads flow from scattered denial fragments at the edges into one calm ordered path; slow 10-12 second loop.</w:t>
            </w:r>
          </w:p>
        </w:tc>
      </w:tr>
      <w:tr>
        <w:tc>
          <w:tcPr>
            <w:tcW w:type="dxa" w:w="5141"/>
            <w:shd w:fill="1A1916"/>
            <w:vAlign w:val="top"/>
          </w:tcPr>
          <w:p>
            <w:pPr>
              <w:spacing w:after="20"/>
            </w:pPr>
            <w:r>
              <w:rPr>
                <w:b/>
                <w:color w:val="F3EFE6"/>
                <w:sz w:val="15"/>
              </w:rPr>
              <w:t>Version</w:t>
            </w:r>
          </w:p>
        </w:tc>
        <w:tc>
          <w:tcPr>
            <w:tcW w:type="dxa" w:w="5141"/>
            <w:shd w:fill="F7F4EE"/>
            <w:vAlign w:val="top"/>
          </w:tcPr>
          <w:p>
            <w:pPr>
              <w:spacing w:after="20"/>
            </w:pPr>
            <w:r>
              <w:rPr>
                <w:sz w:val="16"/>
              </w:rPr>
              <w:t>v1.0 | September 10, 2026</w:t>
            </w:r>
          </w:p>
        </w:tc>
      </w:tr>
    </w:tbl>
    <w:tbl>
      <w:tblPr>
        <w:tblW w:type="auto" w:w="0"/>
        <w:tblLook w:firstColumn="1" w:firstRow="1" w:lastColumn="0" w:lastRow="0" w:noHBand="0" w:noVBand="1" w:val="04A0"/>
      </w:tblPr>
      <w:tblGrid>
        <w:gridCol w:w="10282"/>
      </w:tblGrid>
      <w:tr>
        <w:tc>
          <w:tcPr>
            <w:tcW w:type="dxa" w:w="10282"/>
            <w:shd w:fill="F1EADB"/>
            <w:tcBorders>
              <w:left w:val="single" w:sz="14" w:color="B99845"/>
            </w:tcBorders>
          </w:tcPr>
          <w:p>
            <w:r>
              <w:rPr>
                <w:b/>
                <w:color w:val="7C642F"/>
                <w:sz w:val="18"/>
              </w:rPr>
              <w:t xml:space="preserve">NAMING STATUS: </w:t>
            </w:r>
            <w:r>
              <w:rPr>
                <w:sz w:val="18"/>
              </w:rPr>
              <w:t>Working candidate only. Exact-match open-web collision research was performed on Sep 10, 2026, but this is not a trademark opinion, domain guarantee, or legal clearance.</w:t>
            </w:r>
          </w:p>
        </w:tc>
      </w:tr>
    </w:tbl>
    <w:p>
      <w:pPr>
        <w:spacing w:after="0"/>
      </w:pPr>
    </w:p>
    <w:p>
      <w:r>
        <w:br w:type="page"/>
      </w:r>
    </w:p>
    <w:p>
      <w:pPr>
        <w:pStyle w:val="Heading1"/>
      </w:pPr>
      <w:r>
        <w:t>Executive decision</w:t>
      </w:r>
    </w:p>
    <w:p>
      <w:r>
        <w:t>A consumer-first denial intelligence and appeal workspace that extracts the reason, maps next actions, organizes evidence, drafts the appeal, and keeps the user on deadline.</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1A1916"/>
            <w:vAlign w:val="center"/>
          </w:tcPr>
          <w:p>
            <w:r>
              <w:rPr>
                <w:b/>
                <w:color w:val="F3EFE6"/>
                <w:sz w:val="14"/>
              </w:rPr>
              <w:t>DIMENSION</w:t>
            </w:r>
          </w:p>
        </w:tc>
        <w:tc>
          <w:tcPr>
            <w:tcW w:type="dxa" w:w="3427"/>
            <w:shd w:fill="1A1916"/>
            <w:vAlign w:val="center"/>
          </w:tcPr>
          <w:p>
            <w:r>
              <w:rPr>
                <w:b/>
                <w:color w:val="F3EFE6"/>
                <w:sz w:val="14"/>
              </w:rPr>
              <w:t>ASSESSMENT</w:t>
            </w:r>
          </w:p>
        </w:tc>
        <w:tc>
          <w:tcPr>
            <w:tcW w:type="dxa" w:w="3427"/>
            <w:shd w:fill="1A1916"/>
            <w:vAlign w:val="center"/>
          </w:tcPr>
          <w:p>
            <w:r>
              <w:rPr>
                <w:b/>
                <w:color w:val="F3EFE6"/>
                <w:sz w:val="14"/>
              </w:rPr>
              <w:t>FOUNDER IMPLICATION</w:t>
            </w:r>
          </w:p>
        </w:tc>
      </w:tr>
      <w:tr>
        <w:tc>
          <w:tcPr>
            <w:tcW w:type="dxa" w:w="3427"/>
            <w:shd w:fill="FFFFFF"/>
            <w:vAlign w:val="top"/>
          </w:tcPr>
          <w:p>
            <w:pPr>
              <w:spacing w:after="20"/>
            </w:pPr>
            <w:r>
              <w:rPr>
                <w:sz w:val="14"/>
              </w:rPr>
              <w:t>Pain / urgency</w:t>
            </w:r>
          </w:p>
        </w:tc>
        <w:tc>
          <w:tcPr>
            <w:tcW w:type="dxa" w:w="3427"/>
            <w:shd w:fill="FFFFFF"/>
            <w:vAlign w:val="top"/>
          </w:tcPr>
          <w:p>
            <w:pPr>
              <w:spacing w:after="20"/>
            </w:pPr>
            <w:r>
              <w:rPr>
                <w:sz w:val="14"/>
              </w:rPr>
              <w:t>Very high</w:t>
            </w:r>
          </w:p>
        </w:tc>
        <w:tc>
          <w:tcPr>
            <w:tcW w:type="dxa" w:w="3427"/>
            <w:shd w:fill="FFFFFF"/>
            <w:vAlign w:val="top"/>
          </w:tcPr>
          <w:p>
            <w:pPr>
              <w:spacing w:after="20"/>
            </w:pPr>
            <w:r>
              <w:rPr>
                <w:sz w:val="14"/>
              </w:rPr>
              <w:t>A denial creates an immediate, stressful job to be done.</w:t>
            </w:r>
          </w:p>
        </w:tc>
      </w:tr>
      <w:tr>
        <w:tc>
          <w:tcPr>
            <w:tcW w:type="dxa" w:w="3427"/>
            <w:shd w:fill="F7F4EE"/>
            <w:vAlign w:val="top"/>
          </w:tcPr>
          <w:p>
            <w:pPr>
              <w:spacing w:after="20"/>
            </w:pPr>
            <w:r>
              <w:rPr>
                <w:sz w:val="14"/>
              </w:rPr>
              <w:t>Market evidence</w:t>
            </w:r>
          </w:p>
        </w:tc>
        <w:tc>
          <w:tcPr>
            <w:tcW w:type="dxa" w:w="3427"/>
            <w:shd w:fill="F7F4EE"/>
            <w:vAlign w:val="top"/>
          </w:tcPr>
          <w:p>
            <w:pPr>
              <w:spacing w:after="20"/>
            </w:pPr>
            <w:r>
              <w:rPr>
                <w:sz w:val="14"/>
              </w:rPr>
              <w:t>Strong</w:t>
            </w:r>
          </w:p>
        </w:tc>
        <w:tc>
          <w:tcPr>
            <w:tcW w:type="dxa" w:w="3427"/>
            <w:shd w:fill="F7F4EE"/>
            <w:vAlign w:val="top"/>
          </w:tcPr>
          <w:p>
            <w:pPr>
              <w:spacing w:after="20"/>
            </w:pPr>
            <w:r>
              <w:rPr>
                <w:sz w:val="14"/>
              </w:rPr>
              <w:t>HealthCare.gov plans denied about 20% of claims in 2024; fewer than 1% of denied claims were appealed.</w:t>
            </w:r>
          </w:p>
        </w:tc>
      </w:tr>
      <w:tr>
        <w:tc>
          <w:tcPr>
            <w:tcW w:type="dxa" w:w="3427"/>
            <w:shd w:fill="FFFFFF"/>
            <w:vAlign w:val="top"/>
          </w:tcPr>
          <w:p>
            <w:pPr>
              <w:spacing w:after="20"/>
            </w:pPr>
            <w:r>
              <w:rPr>
                <w:sz w:val="14"/>
              </w:rPr>
              <w:t>Competition</w:t>
            </w:r>
          </w:p>
        </w:tc>
        <w:tc>
          <w:tcPr>
            <w:tcW w:type="dxa" w:w="3427"/>
            <w:shd w:fill="FFFFFF"/>
            <w:vAlign w:val="top"/>
          </w:tcPr>
          <w:p>
            <w:pPr>
              <w:spacing w:after="20"/>
            </w:pPr>
            <w:r>
              <w:rPr>
                <w:sz w:val="14"/>
              </w:rPr>
              <w:t>Moderate-high</w:t>
            </w:r>
          </w:p>
        </w:tc>
        <w:tc>
          <w:tcPr>
            <w:tcW w:type="dxa" w:w="3427"/>
            <w:shd w:fill="FFFFFF"/>
            <w:vAlign w:val="top"/>
          </w:tcPr>
          <w:p>
            <w:pPr>
              <w:spacing w:after="20"/>
            </w:pPr>
            <w:r>
              <w:rPr>
                <w:sz w:val="14"/>
              </w:rPr>
              <w:t>AI appeal tools exist. A simple “AI appeal letter” is not enough.</w:t>
            </w:r>
          </w:p>
        </w:tc>
      </w:tr>
      <w:tr>
        <w:tc>
          <w:tcPr>
            <w:tcW w:type="dxa" w:w="3427"/>
            <w:shd w:fill="F7F4EE"/>
            <w:vAlign w:val="top"/>
          </w:tcPr>
          <w:p>
            <w:pPr>
              <w:spacing w:after="20"/>
            </w:pPr>
            <w:r>
              <w:rPr>
                <w:sz w:val="14"/>
              </w:rPr>
              <w:t>Regulatory / privacy</w:t>
            </w:r>
          </w:p>
        </w:tc>
        <w:tc>
          <w:tcPr>
            <w:tcW w:type="dxa" w:w="3427"/>
            <w:shd w:fill="F7F4EE"/>
            <w:vAlign w:val="top"/>
          </w:tcPr>
          <w:p>
            <w:pPr>
              <w:spacing w:after="20"/>
            </w:pPr>
            <w:r>
              <w:rPr>
                <w:sz w:val="14"/>
              </w:rPr>
              <w:t>High</w:t>
            </w:r>
          </w:p>
        </w:tc>
        <w:tc>
          <w:tcPr>
            <w:tcW w:type="dxa" w:w="3427"/>
            <w:shd w:fill="F7F4EE"/>
            <w:vAlign w:val="top"/>
          </w:tcPr>
          <w:p>
            <w:pPr>
              <w:spacing w:after="20"/>
            </w:pPr>
            <w:r>
              <w:rPr>
                <w:sz w:val="14"/>
              </w:rPr>
              <w:t>Product scope and data practices are as important as the code.</w:t>
            </w:r>
          </w:p>
        </w:tc>
      </w:tr>
      <w:tr>
        <w:tc>
          <w:tcPr>
            <w:tcW w:type="dxa" w:w="3427"/>
            <w:shd w:fill="FFFFFF"/>
            <w:vAlign w:val="top"/>
          </w:tcPr>
          <w:p>
            <w:pPr>
              <w:spacing w:after="20"/>
            </w:pPr>
            <w:r>
              <w:rPr>
                <w:sz w:val="14"/>
              </w:rPr>
              <w:t>Monetization</w:t>
            </w:r>
          </w:p>
        </w:tc>
        <w:tc>
          <w:tcPr>
            <w:tcW w:type="dxa" w:w="3427"/>
            <w:shd w:fill="FFFFFF"/>
            <w:vAlign w:val="top"/>
          </w:tcPr>
          <w:p>
            <w:pPr>
              <w:spacing w:after="20"/>
            </w:pPr>
            <w:r>
              <w:rPr>
                <w:sz w:val="14"/>
              </w:rPr>
              <w:t>Strong</w:t>
            </w:r>
          </w:p>
        </w:tc>
        <w:tc>
          <w:tcPr>
            <w:tcW w:type="dxa" w:w="3427"/>
            <w:shd w:fill="FFFFFF"/>
            <w:vAlign w:val="top"/>
          </w:tcPr>
          <w:p>
            <w:pPr>
              <w:spacing w:after="20"/>
            </w:pPr>
            <w:r>
              <w:rPr>
                <w:sz w:val="14"/>
              </w:rPr>
              <w:t>Case-based D2C pricing, then employer/benefits B2B2C.</w:t>
            </w:r>
          </w:p>
        </w:tc>
      </w:tr>
      <w:tr>
        <w:tc>
          <w:tcPr>
            <w:tcW w:type="dxa" w:w="3427"/>
            <w:shd w:fill="F7F4EE"/>
            <w:vAlign w:val="top"/>
          </w:tcPr>
          <w:p>
            <w:pPr>
              <w:spacing w:after="20"/>
            </w:pPr>
            <w:r>
              <w:rPr>
                <w:sz w:val="14"/>
              </w:rPr>
              <w:t>Buildability</w:t>
            </w:r>
          </w:p>
        </w:tc>
        <w:tc>
          <w:tcPr>
            <w:tcW w:type="dxa" w:w="3427"/>
            <w:shd w:fill="F7F4EE"/>
            <w:vAlign w:val="top"/>
          </w:tcPr>
          <w:p>
            <w:pPr>
              <w:spacing w:after="20"/>
            </w:pPr>
            <w:r>
              <w:rPr>
                <w:sz w:val="14"/>
              </w:rPr>
              <w:t>Good</w:t>
            </w:r>
          </w:p>
        </w:tc>
        <w:tc>
          <w:tcPr>
            <w:tcW w:type="dxa" w:w="3427"/>
            <w:shd w:fill="F7F4EE"/>
            <w:vAlign w:val="top"/>
          </w:tcPr>
          <w:p>
            <w:pPr>
              <w:spacing w:after="20"/>
            </w:pPr>
            <w:r>
              <w:rPr>
                <w:sz w:val="14"/>
              </w:rPr>
              <w:t>Document OCR, extraction, workflow and generation fit Gemini well.</w:t>
            </w:r>
          </w:p>
        </w:tc>
      </w:tr>
    </w:tbl>
    <w:tbl>
      <w:tblPr>
        <w:tblW w:type="auto" w:w="0"/>
        <w:tblLook w:firstColumn="1" w:firstRow="1" w:lastColumn="0" w:lastRow="0" w:noHBand="0" w:noVBand="1" w:val="04A0"/>
      </w:tblPr>
      <w:tblGrid>
        <w:gridCol w:w="10282"/>
      </w:tblGrid>
      <w:tr>
        <w:tc>
          <w:tcPr>
            <w:tcW w:type="dxa" w:w="10282"/>
            <w:shd w:fill="F1EADB"/>
            <w:tcBorders>
              <w:left w:val="single" w:sz="14" w:color="B99845"/>
            </w:tcBorders>
          </w:tcPr>
          <w:p>
            <w:r>
              <w:rPr>
                <w:b/>
                <w:color w:val="7C642F"/>
                <w:sz w:val="18"/>
              </w:rPr>
              <w:t xml:space="preserve">BUILD RECOMMENDATION: </w:t>
            </w:r>
            <w:r>
              <w:rPr>
                <w:sz w:val="18"/>
              </w:rPr>
              <w:t>Strongest acute consumer pain but highest compliance burden.</w:t>
            </w:r>
          </w:p>
        </w:tc>
      </w:tr>
    </w:tbl>
    <w:p>
      <w:pPr>
        <w:spacing w:after="0"/>
      </w:pPr>
    </w:p>
    <w:p>
      <w:pPr>
        <w:pStyle w:val="Heading1"/>
      </w:pPr>
      <w:r>
        <w:t>Problem worth solving</w:t>
      </w:r>
    </w:p>
    <w:p>
      <w:r>
        <w:t>Denied claims are common but appeals are rare. The unmet job is not only writing a letter. Users need to understand why the claim was denied, what evidence is missing, what official process applies, whether a deadline is actually supported by their documents/rules, and what to do next.</w:t>
      </w:r>
    </w:p>
    <w:p>
      <w:pPr>
        <w:pStyle w:val="Heading1"/>
      </w:pPr>
      <w:r>
        <w:t>Who uses it and why</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1A1916"/>
            <w:vAlign w:val="center"/>
          </w:tcPr>
          <w:p>
            <w:r>
              <w:rPr>
                <w:b/>
                <w:color w:val="F3EFE6"/>
                <w:sz w:val="14"/>
              </w:rPr>
              <w:t>PERSONA</w:t>
            </w:r>
          </w:p>
        </w:tc>
        <w:tc>
          <w:tcPr>
            <w:tcW w:type="dxa" w:w="3427"/>
            <w:shd w:fill="1A1916"/>
            <w:vAlign w:val="center"/>
          </w:tcPr>
          <w:p>
            <w:r>
              <w:rPr>
                <w:b/>
                <w:color w:val="F3EFE6"/>
                <w:sz w:val="14"/>
              </w:rPr>
              <w:t>SITUATION</w:t>
            </w:r>
          </w:p>
        </w:tc>
        <w:tc>
          <w:tcPr>
            <w:tcW w:type="dxa" w:w="3427"/>
            <w:shd w:fill="1A1916"/>
            <w:vAlign w:val="center"/>
          </w:tcPr>
          <w:p>
            <w:r>
              <w:rPr>
                <w:b/>
                <w:color w:val="F3EFE6"/>
                <w:sz w:val="14"/>
              </w:rPr>
              <w:t>JOB TO BE DONE</w:t>
            </w:r>
          </w:p>
        </w:tc>
      </w:tr>
      <w:tr>
        <w:tc>
          <w:tcPr>
            <w:tcW w:type="dxa" w:w="3427"/>
            <w:shd w:fill="FFFFFF"/>
            <w:vAlign w:val="top"/>
          </w:tcPr>
          <w:p>
            <w:pPr>
              <w:spacing w:after="20"/>
            </w:pPr>
            <w:r>
              <w:rPr>
                <w:sz w:val="14"/>
              </w:rPr>
              <w:t>Denied member</w:t>
            </w:r>
          </w:p>
        </w:tc>
        <w:tc>
          <w:tcPr>
            <w:tcW w:type="dxa" w:w="3427"/>
            <w:shd w:fill="FFFFFF"/>
            <w:vAlign w:val="top"/>
          </w:tcPr>
          <w:p>
            <w:pPr>
              <w:spacing w:after="20"/>
            </w:pPr>
            <w:r>
              <w:rPr>
                <w:sz w:val="14"/>
              </w:rPr>
              <w:t>Denial/EOB is confusing</w:t>
            </w:r>
          </w:p>
        </w:tc>
        <w:tc>
          <w:tcPr>
            <w:tcW w:type="dxa" w:w="3427"/>
            <w:shd w:fill="FFFFFF"/>
            <w:vAlign w:val="top"/>
          </w:tcPr>
          <w:p>
            <w:pPr>
              <w:spacing w:after="20"/>
            </w:pPr>
            <w:r>
              <w:rPr>
                <w:sz w:val="14"/>
              </w:rPr>
              <w:t>Tell me what happened and what I can do next.</w:t>
            </w:r>
          </w:p>
        </w:tc>
      </w:tr>
      <w:tr>
        <w:tc>
          <w:tcPr>
            <w:tcW w:type="dxa" w:w="3427"/>
            <w:shd w:fill="F7F4EE"/>
            <w:vAlign w:val="top"/>
          </w:tcPr>
          <w:p>
            <w:pPr>
              <w:spacing w:after="20"/>
            </w:pPr>
            <w:r>
              <w:rPr>
                <w:sz w:val="14"/>
              </w:rPr>
              <w:t>Family helper</w:t>
            </w:r>
          </w:p>
        </w:tc>
        <w:tc>
          <w:tcPr>
            <w:tcW w:type="dxa" w:w="3427"/>
            <w:shd w:fill="F7F4EE"/>
            <w:vAlign w:val="top"/>
          </w:tcPr>
          <w:p>
            <w:pPr>
              <w:spacing w:after="20"/>
            </w:pPr>
            <w:r>
              <w:rPr>
                <w:sz w:val="14"/>
              </w:rPr>
              <w:t>Handling paperwork for spouse/parent</w:t>
            </w:r>
          </w:p>
        </w:tc>
        <w:tc>
          <w:tcPr>
            <w:tcW w:type="dxa" w:w="3427"/>
            <w:shd w:fill="F7F4EE"/>
            <w:vAlign w:val="top"/>
          </w:tcPr>
          <w:p>
            <w:pPr>
              <w:spacing w:after="20"/>
            </w:pPr>
            <w:r>
              <w:rPr>
                <w:sz w:val="14"/>
              </w:rPr>
              <w:t>Give me one case file with evidence, deadlines and history.</w:t>
            </w:r>
          </w:p>
        </w:tc>
      </w:tr>
      <w:tr>
        <w:tc>
          <w:tcPr>
            <w:tcW w:type="dxa" w:w="3427"/>
            <w:shd w:fill="FFFFFF"/>
            <w:vAlign w:val="top"/>
          </w:tcPr>
          <w:p>
            <w:pPr>
              <w:spacing w:after="20"/>
            </w:pPr>
            <w:r>
              <w:rPr>
                <w:sz w:val="14"/>
              </w:rPr>
              <w:t>Persistent self-advocate</w:t>
            </w:r>
          </w:p>
        </w:tc>
        <w:tc>
          <w:tcPr>
            <w:tcW w:type="dxa" w:w="3427"/>
            <w:shd w:fill="FFFFFF"/>
            <w:vAlign w:val="top"/>
          </w:tcPr>
          <w:p>
            <w:pPr>
              <w:spacing w:after="20"/>
            </w:pPr>
            <w:r>
              <w:rPr>
                <w:sz w:val="14"/>
              </w:rPr>
              <w:t>Internal appeal upheld</w:t>
            </w:r>
          </w:p>
        </w:tc>
        <w:tc>
          <w:tcPr>
            <w:tcW w:type="dxa" w:w="3427"/>
            <w:shd w:fill="FFFFFF"/>
            <w:vAlign w:val="top"/>
          </w:tcPr>
          <w:p>
            <w:pPr>
              <w:spacing w:after="20"/>
            </w:pPr>
            <w:r>
              <w:rPr>
                <w:sz w:val="14"/>
              </w:rPr>
              <w:t>Show the official next review option when it is actually supported.</w:t>
            </w:r>
          </w:p>
        </w:tc>
      </w:tr>
    </w:tbl>
    <w:p>
      <w:pPr>
        <w:pStyle w:val="Heading1"/>
      </w:pPr>
      <w:r>
        <w:t>When someone should use ClaimCoda</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1A1916"/>
            <w:vAlign w:val="center"/>
          </w:tcPr>
          <w:p>
            <w:r>
              <w:rPr>
                <w:b/>
                <w:color w:val="F3EFE6"/>
                <w:sz w:val="14"/>
              </w:rPr>
              <w:t>USE IT WHEN</w:t>
            </w:r>
          </w:p>
        </w:tc>
        <w:tc>
          <w:tcPr>
            <w:tcW w:type="dxa" w:w="3427"/>
            <w:shd w:fill="1A1916"/>
            <w:vAlign w:val="center"/>
          </w:tcPr>
          <w:p>
            <w:r>
              <w:rPr>
                <w:b/>
                <w:color w:val="F3EFE6"/>
                <w:sz w:val="14"/>
              </w:rPr>
              <w:t>PRODUCT DOES</w:t>
            </w:r>
          </w:p>
        </w:tc>
        <w:tc>
          <w:tcPr>
            <w:tcW w:type="dxa" w:w="3427"/>
            <w:shd w:fill="1A1916"/>
            <w:vAlign w:val="center"/>
          </w:tcPr>
          <w:p>
            <w:r>
              <w:rPr>
                <w:b/>
                <w:color w:val="F3EFE6"/>
                <w:sz w:val="14"/>
              </w:rPr>
              <w:t>DO NOT POSITION AS</w:t>
            </w:r>
          </w:p>
        </w:tc>
      </w:tr>
      <w:tr>
        <w:tc>
          <w:tcPr>
            <w:tcW w:type="dxa" w:w="3427"/>
            <w:shd w:fill="FFFFFF"/>
            <w:vAlign w:val="top"/>
          </w:tcPr>
          <w:p>
            <w:pPr>
              <w:spacing w:after="20"/>
            </w:pPr>
            <w:r>
              <w:rPr>
                <w:sz w:val="14"/>
              </w:rPr>
              <w:t>A denial/EOB is confusing</w:t>
            </w:r>
          </w:p>
        </w:tc>
        <w:tc>
          <w:tcPr>
            <w:tcW w:type="dxa" w:w="3427"/>
            <w:shd w:fill="FFFFFF"/>
            <w:vAlign w:val="top"/>
          </w:tcPr>
          <w:p>
            <w:pPr>
              <w:spacing w:after="20"/>
            </w:pPr>
            <w:r>
              <w:rPr>
                <w:sz w:val="14"/>
              </w:rPr>
              <w:t>Extract reason, dates, contacts, codes and stated appeal instructions</w:t>
            </w:r>
          </w:p>
        </w:tc>
        <w:tc>
          <w:tcPr>
            <w:tcW w:type="dxa" w:w="3427"/>
            <w:shd w:fill="FFFFFF"/>
            <w:vAlign w:val="top"/>
          </w:tcPr>
          <w:p>
            <w:pPr>
              <w:spacing w:after="20"/>
            </w:pPr>
            <w:r>
              <w:rPr>
                <w:sz w:val="14"/>
              </w:rPr>
              <w:t>A lawyer or authorized representative</w:t>
            </w:r>
          </w:p>
        </w:tc>
      </w:tr>
      <w:tr>
        <w:tc>
          <w:tcPr>
            <w:tcW w:type="dxa" w:w="3427"/>
            <w:shd w:fill="F7F4EE"/>
            <w:vAlign w:val="top"/>
          </w:tcPr>
          <w:p>
            <w:pPr>
              <w:spacing w:after="20"/>
            </w:pPr>
            <w:r>
              <w:rPr>
                <w:sz w:val="14"/>
              </w:rPr>
              <w:t>The user wants to appeal</w:t>
            </w:r>
          </w:p>
        </w:tc>
        <w:tc>
          <w:tcPr>
            <w:tcW w:type="dxa" w:w="3427"/>
            <w:shd w:fill="F7F4EE"/>
            <w:vAlign w:val="top"/>
          </w:tcPr>
          <w:p>
            <w:pPr>
              <w:spacing w:after="20"/>
            </w:pPr>
            <w:r>
              <w:rPr>
                <w:sz w:val="14"/>
              </w:rPr>
              <w:t>Create evidence checklist and user-reviewed appeal draft</w:t>
            </w:r>
          </w:p>
        </w:tc>
        <w:tc>
          <w:tcPr>
            <w:tcW w:type="dxa" w:w="3427"/>
            <w:shd w:fill="F7F4EE"/>
            <w:vAlign w:val="top"/>
          </w:tcPr>
          <w:p>
            <w:pPr>
              <w:spacing w:after="20"/>
            </w:pPr>
            <w:r>
              <w:rPr>
                <w:sz w:val="14"/>
              </w:rPr>
              <w:t>A guarantee of reversal/payment</w:t>
            </w:r>
          </w:p>
        </w:tc>
      </w:tr>
      <w:tr>
        <w:tc>
          <w:tcPr>
            <w:tcW w:type="dxa" w:w="3427"/>
            <w:shd w:fill="FFFFFF"/>
            <w:vAlign w:val="top"/>
          </w:tcPr>
          <w:p>
            <w:pPr>
              <w:spacing w:after="20"/>
            </w:pPr>
            <w:r>
              <w:rPr>
                <w:sz w:val="14"/>
              </w:rPr>
              <w:t>Deadlines are unclear</w:t>
            </w:r>
          </w:p>
        </w:tc>
        <w:tc>
          <w:tcPr>
            <w:tcW w:type="dxa" w:w="3427"/>
            <w:shd w:fill="FFFFFF"/>
            <w:vAlign w:val="top"/>
          </w:tcPr>
          <w:p>
            <w:pPr>
              <w:spacing w:after="20"/>
            </w:pPr>
            <w:r>
              <w:rPr>
                <w:sz w:val="14"/>
              </w:rPr>
              <w:t>Show deadline only when sourced from document or reviewed official rule</w:t>
            </w:r>
          </w:p>
        </w:tc>
        <w:tc>
          <w:tcPr>
            <w:tcW w:type="dxa" w:w="3427"/>
            <w:shd w:fill="FFFFFF"/>
            <w:vAlign w:val="top"/>
          </w:tcPr>
          <w:p>
            <w:pPr>
              <w:spacing w:after="20"/>
            </w:pPr>
            <w:r>
              <w:rPr>
                <w:sz w:val="14"/>
              </w:rPr>
              <w:t>An invented jurisdictional deadline engine</w:t>
            </w:r>
          </w:p>
        </w:tc>
      </w:tr>
      <w:tr>
        <w:tc>
          <w:tcPr>
            <w:tcW w:type="dxa" w:w="3427"/>
            <w:shd w:fill="F7F4EE"/>
            <w:vAlign w:val="top"/>
          </w:tcPr>
          <w:p>
            <w:pPr>
              <w:spacing w:after="20"/>
            </w:pPr>
            <w:r>
              <w:rPr>
                <w:sz w:val="14"/>
              </w:rPr>
              <w:t>A clinical/urgent issue appears</w:t>
            </w:r>
          </w:p>
        </w:tc>
        <w:tc>
          <w:tcPr>
            <w:tcW w:type="dxa" w:w="3427"/>
            <w:shd w:fill="F7F4EE"/>
            <w:vAlign w:val="top"/>
          </w:tcPr>
          <w:p>
            <w:pPr>
              <w:spacing w:after="20"/>
            </w:pPr>
            <w:r>
              <w:rPr>
                <w:sz w:val="14"/>
              </w:rPr>
              <w:t>Route to insurer/CMS/state/professional resources</w:t>
            </w:r>
          </w:p>
        </w:tc>
        <w:tc>
          <w:tcPr>
            <w:tcW w:type="dxa" w:w="3427"/>
            <w:shd w:fill="F7F4EE"/>
            <w:vAlign w:val="top"/>
          </w:tcPr>
          <w:p>
            <w:pPr>
              <w:spacing w:after="20"/>
            </w:pPr>
            <w:r>
              <w:rPr>
                <w:sz w:val="14"/>
              </w:rPr>
              <w:t>Diagnosis, treatment or emergency triage</w:t>
            </w:r>
          </w:p>
        </w:tc>
      </w:tr>
    </w:tbl>
    <w:p>
      <w:pPr>
        <w:pStyle w:val="Heading1"/>
      </w:pPr>
      <w:r>
        <w:t>Market and competitor reality</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1A1916"/>
            <w:vAlign w:val="center"/>
          </w:tcPr>
          <w:p>
            <w:r>
              <w:rPr>
                <w:b/>
                <w:color w:val="F3EFE6"/>
                <w:sz w:val="14"/>
              </w:rPr>
              <w:t>COMPETITOR / SUBSTITUTE</w:t>
            </w:r>
          </w:p>
        </w:tc>
        <w:tc>
          <w:tcPr>
            <w:tcW w:type="dxa" w:w="3427"/>
            <w:shd w:fill="1A1916"/>
            <w:vAlign w:val="center"/>
          </w:tcPr>
          <w:p>
            <w:r>
              <w:rPr>
                <w:b/>
                <w:color w:val="F3EFE6"/>
                <w:sz w:val="14"/>
              </w:rPr>
              <w:t>WHAT IT PROVES</w:t>
            </w:r>
          </w:p>
        </w:tc>
        <w:tc>
          <w:tcPr>
            <w:tcW w:type="dxa" w:w="3427"/>
            <w:shd w:fill="1A1916"/>
            <w:vAlign w:val="center"/>
          </w:tcPr>
          <w:p>
            <w:r>
              <w:rPr>
                <w:b/>
                <w:color w:val="F3EFE6"/>
                <w:sz w:val="14"/>
              </w:rPr>
              <w:t>WHERE TO DIFFERENTIATE</w:t>
            </w:r>
          </w:p>
        </w:tc>
      </w:tr>
      <w:tr>
        <w:tc>
          <w:tcPr>
            <w:tcW w:type="dxa" w:w="3427"/>
            <w:shd w:fill="FFFFFF"/>
            <w:vAlign w:val="top"/>
          </w:tcPr>
          <w:p>
            <w:pPr>
              <w:spacing w:after="20"/>
            </w:pPr>
            <w:r>
              <w:rPr>
                <w:sz w:val="14"/>
              </w:rPr>
              <w:t>Claimable</w:t>
            </w:r>
          </w:p>
        </w:tc>
        <w:tc>
          <w:tcPr>
            <w:tcW w:type="dxa" w:w="3427"/>
            <w:shd w:fill="FFFFFF"/>
            <w:vAlign w:val="top"/>
          </w:tcPr>
          <w:p>
            <w:pPr>
              <w:spacing w:after="20"/>
            </w:pPr>
            <w:r>
              <w:rPr>
                <w:sz w:val="14"/>
              </w:rPr>
              <w:t>Validates willingness to use/pay for AI appeal help</w:t>
            </w:r>
          </w:p>
        </w:tc>
        <w:tc>
          <w:tcPr>
            <w:tcW w:type="dxa" w:w="3427"/>
            <w:shd w:fill="FFFFFF"/>
            <w:vAlign w:val="top"/>
          </w:tcPr>
          <w:p>
            <w:pPr>
              <w:spacing w:after="20"/>
            </w:pPr>
            <w:r>
              <w:rPr>
                <w:sz w:val="14"/>
              </w:rPr>
              <w:t>Differentiate with source provenance, case timeline, rule registry and evidence completeness.</w:t>
            </w:r>
          </w:p>
        </w:tc>
      </w:tr>
      <w:tr>
        <w:tc>
          <w:tcPr>
            <w:tcW w:type="dxa" w:w="3427"/>
            <w:shd w:fill="F7F4EE"/>
            <w:vAlign w:val="top"/>
          </w:tcPr>
          <w:p>
            <w:pPr>
              <w:spacing w:after="20"/>
            </w:pPr>
            <w:r>
              <w:rPr>
                <w:sz w:val="14"/>
              </w:rPr>
              <w:t>Fight Health Insurance</w:t>
            </w:r>
          </w:p>
        </w:tc>
        <w:tc>
          <w:tcPr>
            <w:tcW w:type="dxa" w:w="3427"/>
            <w:shd w:fill="F7F4EE"/>
            <w:vAlign w:val="top"/>
          </w:tcPr>
          <w:p>
            <w:pPr>
              <w:spacing w:after="20"/>
            </w:pPr>
            <w:r>
              <w:rPr>
                <w:sz w:val="14"/>
              </w:rPr>
              <w:t>Validates low-friction AI drafting</w:t>
            </w:r>
          </w:p>
        </w:tc>
        <w:tc>
          <w:tcPr>
            <w:tcW w:type="dxa" w:w="3427"/>
            <w:shd w:fill="F7F4EE"/>
            <w:vAlign w:val="top"/>
          </w:tcPr>
          <w:p>
            <w:pPr>
              <w:spacing w:after="20"/>
            </w:pPr>
            <w:r>
              <w:rPr>
                <w:sz w:val="14"/>
              </w:rPr>
              <w:t>Go beyond a letter into an operating workflow.</w:t>
            </w:r>
          </w:p>
        </w:tc>
      </w:tr>
      <w:tr>
        <w:tc>
          <w:tcPr>
            <w:tcW w:type="dxa" w:w="3427"/>
            <w:shd w:fill="FFFFFF"/>
            <w:vAlign w:val="top"/>
          </w:tcPr>
          <w:p>
            <w:pPr>
              <w:spacing w:after="20"/>
            </w:pPr>
            <w:r>
              <w:rPr>
                <w:sz w:val="14"/>
              </w:rPr>
              <w:t>Billing office / human advocate</w:t>
            </w:r>
          </w:p>
        </w:tc>
        <w:tc>
          <w:tcPr>
            <w:tcW w:type="dxa" w:w="3427"/>
            <w:shd w:fill="FFFFFF"/>
            <w:vAlign w:val="top"/>
          </w:tcPr>
          <w:p>
            <w:pPr>
              <w:spacing w:after="20"/>
            </w:pPr>
            <w:r>
              <w:rPr>
                <w:sz w:val="14"/>
              </w:rPr>
              <w:t>Human trust matters</w:t>
            </w:r>
          </w:p>
        </w:tc>
        <w:tc>
          <w:tcPr>
            <w:tcW w:type="dxa" w:w="3427"/>
            <w:shd w:fill="FFFFFF"/>
            <w:vAlign w:val="top"/>
          </w:tcPr>
          <w:p>
            <w:pPr>
              <w:spacing w:after="20"/>
            </w:pPr>
            <w:r>
              <w:rPr>
                <w:sz w:val="14"/>
              </w:rPr>
              <w:t>Offer optional escalation later, not as MVP dependency.</w:t>
            </w:r>
          </w:p>
        </w:tc>
      </w:tr>
    </w:tbl>
    <w:p>
      <w:pPr>
        <w:pStyle w:val="Heading1"/>
      </w:pPr>
      <w:r>
        <w:t>Business model hypothesis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1A1916"/>
            <w:vAlign w:val="center"/>
          </w:tcPr>
          <w:p>
            <w:r>
              <w:rPr>
                <w:b/>
                <w:color w:val="F3EFE6"/>
                <w:sz w:val="14"/>
              </w:rPr>
              <w:t>OFFER</w:t>
            </w:r>
          </w:p>
        </w:tc>
        <w:tc>
          <w:tcPr>
            <w:tcW w:type="dxa" w:w="3427"/>
            <w:shd w:fill="1A1916"/>
            <w:vAlign w:val="center"/>
          </w:tcPr>
          <w:p>
            <w:r>
              <w:rPr>
                <w:b/>
                <w:color w:val="F3EFE6"/>
                <w:sz w:val="14"/>
              </w:rPr>
              <w:t>INDICATIVE PRICE</w:t>
            </w:r>
          </w:p>
        </w:tc>
        <w:tc>
          <w:tcPr>
            <w:tcW w:type="dxa" w:w="3427"/>
            <w:shd w:fill="1A1916"/>
            <w:vAlign w:val="center"/>
          </w:tcPr>
          <w:p>
            <w:r>
              <w:rPr>
                <w:b/>
                <w:color w:val="F3EFE6"/>
                <w:sz w:val="14"/>
              </w:rPr>
              <w:t>WHY / SCOPE</w:t>
            </w:r>
          </w:p>
        </w:tc>
      </w:tr>
      <w:tr>
        <w:tc>
          <w:tcPr>
            <w:tcW w:type="dxa" w:w="3427"/>
            <w:shd w:fill="FFFFFF"/>
            <w:vAlign w:val="top"/>
          </w:tcPr>
          <w:p>
            <w:pPr>
              <w:spacing w:after="20"/>
            </w:pPr>
            <w:r>
              <w:rPr>
                <w:sz w:val="14"/>
              </w:rPr>
              <w:t>Free case scan</w:t>
            </w:r>
          </w:p>
        </w:tc>
        <w:tc>
          <w:tcPr>
            <w:tcW w:type="dxa" w:w="3427"/>
            <w:shd w:fill="FFFFFF"/>
            <w:vAlign w:val="top"/>
          </w:tcPr>
          <w:p>
            <w:pPr>
              <w:spacing w:after="20"/>
            </w:pPr>
            <w:r>
              <w:rPr>
                <w:sz w:val="14"/>
              </w:rPr>
              <w:t>$0</w:t>
            </w:r>
          </w:p>
        </w:tc>
        <w:tc>
          <w:tcPr>
            <w:tcW w:type="dxa" w:w="3427"/>
            <w:shd w:fill="FFFFFF"/>
            <w:vAlign w:val="top"/>
          </w:tcPr>
          <w:p>
            <w:pPr>
              <w:spacing w:after="20"/>
            </w:pPr>
            <w:r>
              <w:rPr>
                <w:sz w:val="14"/>
              </w:rPr>
              <w:t>Denial explanation, missing fields, official links.</w:t>
            </w:r>
          </w:p>
        </w:tc>
      </w:tr>
      <w:tr>
        <w:tc>
          <w:tcPr>
            <w:tcW w:type="dxa" w:w="3427"/>
            <w:shd w:fill="F7F4EE"/>
            <w:vAlign w:val="top"/>
          </w:tcPr>
          <w:p>
            <w:pPr>
              <w:spacing w:after="20"/>
            </w:pPr>
            <w:r>
              <w:rPr>
                <w:sz w:val="14"/>
              </w:rPr>
              <w:t>Appeal Pack</w:t>
            </w:r>
          </w:p>
        </w:tc>
        <w:tc>
          <w:tcPr>
            <w:tcW w:type="dxa" w:w="3427"/>
            <w:shd w:fill="F7F4EE"/>
            <w:vAlign w:val="top"/>
          </w:tcPr>
          <w:p>
            <w:pPr>
              <w:spacing w:after="20"/>
            </w:pPr>
            <w:r>
              <w:rPr>
                <w:sz w:val="14"/>
              </w:rPr>
              <w:t>$29-$49/case</w:t>
            </w:r>
          </w:p>
        </w:tc>
        <w:tc>
          <w:tcPr>
            <w:tcW w:type="dxa" w:w="3427"/>
            <w:shd w:fill="F7F4EE"/>
            <w:vAlign w:val="top"/>
          </w:tcPr>
          <w:p>
            <w:pPr>
              <w:spacing w:after="20"/>
            </w:pPr>
            <w:r>
              <w:rPr>
                <w:sz w:val="14"/>
              </w:rPr>
              <w:t>Checklist, draft, packet, reminders.</w:t>
            </w:r>
          </w:p>
        </w:tc>
      </w:tr>
      <w:tr>
        <w:tc>
          <w:tcPr>
            <w:tcW w:type="dxa" w:w="3427"/>
            <w:shd w:fill="FFFFFF"/>
            <w:vAlign w:val="top"/>
          </w:tcPr>
          <w:p>
            <w:pPr>
              <w:spacing w:after="20"/>
            </w:pPr>
            <w:r>
              <w:rPr>
                <w:sz w:val="14"/>
              </w:rPr>
              <w:t>Guided Case</w:t>
            </w:r>
          </w:p>
        </w:tc>
        <w:tc>
          <w:tcPr>
            <w:tcW w:type="dxa" w:w="3427"/>
            <w:shd w:fill="FFFFFF"/>
            <w:vAlign w:val="top"/>
          </w:tcPr>
          <w:p>
            <w:pPr>
              <w:spacing w:after="20"/>
            </w:pPr>
            <w:r>
              <w:rPr>
                <w:sz w:val="14"/>
              </w:rPr>
              <w:t>$79-$129/case</w:t>
            </w:r>
          </w:p>
        </w:tc>
        <w:tc>
          <w:tcPr>
            <w:tcW w:type="dxa" w:w="3427"/>
            <w:shd w:fill="FFFFFF"/>
            <w:vAlign w:val="top"/>
          </w:tcPr>
          <w:p>
            <w:pPr>
              <w:spacing w:after="20"/>
            </w:pPr>
            <w:r>
              <w:rPr>
                <w:sz w:val="14"/>
              </w:rPr>
              <w:t>Revisions, follow-up denial handling, optional referral.</w:t>
            </w:r>
          </w:p>
        </w:tc>
      </w:tr>
      <w:tr>
        <w:tc>
          <w:tcPr>
            <w:tcW w:type="dxa" w:w="3427"/>
            <w:shd w:fill="F7F4EE"/>
            <w:vAlign w:val="top"/>
          </w:tcPr>
          <w:p>
            <w:pPr>
              <w:spacing w:after="20"/>
            </w:pPr>
            <w:r>
              <w:rPr>
                <w:sz w:val="14"/>
              </w:rPr>
              <w:t>Employer / benefits</w:t>
            </w:r>
          </w:p>
        </w:tc>
        <w:tc>
          <w:tcPr>
            <w:tcW w:type="dxa" w:w="3427"/>
            <w:shd w:fill="F7F4EE"/>
            <w:vAlign w:val="top"/>
          </w:tcPr>
          <w:p>
            <w:pPr>
              <w:spacing w:after="20"/>
            </w:pPr>
            <w:r>
              <w:rPr>
                <w:sz w:val="14"/>
              </w:rPr>
              <w:t>PEPM / volume</w:t>
            </w:r>
          </w:p>
        </w:tc>
        <w:tc>
          <w:tcPr>
            <w:tcW w:type="dxa" w:w="3427"/>
            <w:shd w:fill="F7F4EE"/>
            <w:vAlign w:val="top"/>
          </w:tcPr>
          <w:p>
            <w:pPr>
              <w:spacing w:after="20"/>
            </w:pPr>
            <w:r>
              <w:rPr>
                <w:sz w:val="14"/>
              </w:rPr>
              <w:t>B2B2C after consumer workflow is proven.</w:t>
            </w:r>
          </w:p>
        </w:tc>
      </w:tr>
    </w:tbl>
    <w:p>
      <w:pPr>
        <w:pStyle w:val="Heading1"/>
      </w:pPr>
      <w:r>
        <w:t>Regulatory / approval posture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1A1916"/>
            <w:vAlign w:val="center"/>
          </w:tcPr>
          <w:p>
            <w:r>
              <w:rPr>
                <w:b/>
                <w:color w:val="F3EFE6"/>
                <w:sz w:val="14"/>
              </w:rPr>
              <w:t>AREA</w:t>
            </w:r>
          </w:p>
        </w:tc>
        <w:tc>
          <w:tcPr>
            <w:tcW w:type="dxa" w:w="5141"/>
            <w:shd w:fill="1A1916"/>
            <w:vAlign w:val="center"/>
          </w:tcPr>
          <w:p>
            <w:r>
              <w:rPr>
                <w:b/>
                <w:color w:val="F3EFE6"/>
                <w:sz w:val="14"/>
              </w:rPr>
              <w:t>V1 POSTURE</w:t>
            </w:r>
          </w:p>
        </w:tc>
      </w:tr>
      <w:tr>
        <w:tc>
          <w:tcPr>
            <w:tcW w:type="dxa" w:w="5141"/>
            <w:shd w:fill="FFFFFF"/>
            <w:vAlign w:val="top"/>
          </w:tcPr>
          <w:p>
            <w:pPr>
              <w:spacing w:after="20"/>
            </w:pPr>
            <w:r>
              <w:rPr>
                <w:sz w:val="14"/>
              </w:rPr>
              <w:t>Government approval</w:t>
            </w:r>
          </w:p>
        </w:tc>
        <w:tc>
          <w:tcPr>
            <w:tcW w:type="dxa" w:w="5141"/>
            <w:shd w:fill="FFFFFF"/>
            <w:vAlign w:val="top"/>
          </w:tcPr>
          <w:p>
            <w:pPr>
              <w:spacing w:after="20"/>
            </w:pPr>
            <w:r>
              <w:rPr>
                <w:sz w:val="14"/>
              </w:rPr>
              <w:t>For a tightly scoped document-prep/educational workflow, no general federal premarket approval is expected; validate scope with counsel.</w:t>
            </w:r>
          </w:p>
        </w:tc>
      </w:tr>
      <w:tr>
        <w:tc>
          <w:tcPr>
            <w:tcW w:type="dxa" w:w="5141"/>
            <w:shd w:fill="F7F4EE"/>
            <w:vAlign w:val="top"/>
          </w:tcPr>
          <w:p>
            <w:pPr>
              <w:spacing w:after="20"/>
            </w:pPr>
            <w:r>
              <w:rPr>
                <w:sz w:val="14"/>
              </w:rPr>
              <w:t>HIPAA</w:t>
            </w:r>
          </w:p>
        </w:tc>
        <w:tc>
          <w:tcPr>
            <w:tcW w:type="dxa" w:w="5141"/>
            <w:shd w:fill="F7F4EE"/>
            <w:vAlign w:val="top"/>
          </w:tcPr>
          <w:p>
            <w:pPr>
              <w:spacing w:after="20"/>
            </w:pPr>
            <w:r>
              <w:rPr>
                <w:sz w:val="14"/>
              </w:rPr>
              <w:t>D2C is not automatically a covered entity/business associate. If the app is provided on behalf of a covered entity, a BAA may be required.</w:t>
            </w:r>
          </w:p>
        </w:tc>
      </w:tr>
      <w:tr>
        <w:tc>
          <w:tcPr>
            <w:tcW w:type="dxa" w:w="5141"/>
            <w:shd w:fill="FFFFFF"/>
            <w:vAlign w:val="top"/>
          </w:tcPr>
          <w:p>
            <w:pPr>
              <w:spacing w:after="20"/>
            </w:pPr>
            <w:r>
              <w:rPr>
                <w:sz w:val="14"/>
              </w:rPr>
              <w:t>Non-HIPAA health privacy</w:t>
            </w:r>
          </w:p>
        </w:tc>
        <w:tc>
          <w:tcPr>
            <w:tcW w:type="dxa" w:w="5141"/>
            <w:shd w:fill="FFFFFF"/>
            <w:vAlign w:val="top"/>
          </w:tcPr>
          <w:p>
            <w:pPr>
              <w:spacing w:after="20"/>
            </w:pPr>
            <w:r>
              <w:rPr>
                <w:sz w:val="14"/>
              </w:rPr>
              <w:t>FTC Health Breach Notification Rule and applicable state consumer-health privacy laws can still apply.</w:t>
            </w:r>
          </w:p>
        </w:tc>
      </w:tr>
      <w:tr>
        <w:tc>
          <w:tcPr>
            <w:tcW w:type="dxa" w:w="5141"/>
            <w:shd w:fill="F7F4EE"/>
            <w:vAlign w:val="top"/>
          </w:tcPr>
          <w:p>
            <w:pPr>
              <w:spacing w:after="20"/>
            </w:pPr>
            <w:r>
              <w:rPr>
                <w:sz w:val="14"/>
              </w:rPr>
              <w:t>FDA boundary</w:t>
            </w:r>
          </w:p>
        </w:tc>
        <w:tc>
          <w:tcPr>
            <w:tcW w:type="dxa" w:w="5141"/>
            <w:shd w:fill="F7F4EE"/>
            <w:vAlign w:val="top"/>
          </w:tcPr>
          <w:p>
            <w:pPr>
              <w:spacing w:after="20"/>
            </w:pPr>
            <w:r>
              <w:rPr>
                <w:sz w:val="14"/>
              </w:rPr>
              <w:t>No diagnosis, treatment, medication advice or patient-specific clinical decision support in v1.</w:t>
            </w:r>
          </w:p>
        </w:tc>
      </w:tr>
      <w:tr>
        <w:tc>
          <w:tcPr>
            <w:tcW w:type="dxa" w:w="5141"/>
            <w:shd w:fill="FFFFFF"/>
            <w:vAlign w:val="top"/>
          </w:tcPr>
          <w:p>
            <w:pPr>
              <w:spacing w:after="20"/>
            </w:pPr>
            <w:r>
              <w:rPr>
                <w:sz w:val="14"/>
              </w:rPr>
              <w:t>Appeal rules</w:t>
            </w:r>
          </w:p>
        </w:tc>
        <w:tc>
          <w:tcPr>
            <w:tcW w:type="dxa" w:w="5141"/>
            <w:shd w:fill="FFFFFF"/>
            <w:vAlign w:val="top"/>
          </w:tcPr>
          <w:p>
            <w:pPr>
              <w:spacing w:after="20"/>
            </w:pPr>
            <w:r>
              <w:rPr>
                <w:sz w:val="14"/>
              </w:rPr>
              <w:t>Use reviewed CMS/state official sources; internal/external review processes vary.</w:t>
            </w:r>
          </w:p>
        </w:tc>
      </w:tr>
    </w:tbl>
    <w:p>
      <w:r>
        <w:t>For ClaimCoda specifically, do not use contingency fees or claim to represent/negotiate for the user without state-by-state legal review of insurance, legal-service and authorized-representative rules.</w:t>
      </w:r>
    </w:p>
    <w:p>
      <w:pPr>
        <w:pStyle w:val="Heading1"/>
      </w:pPr>
      <w:r>
        <w:t>Lean startup budget</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1A1916"/>
            <w:vAlign w:val="center"/>
          </w:tcPr>
          <w:p>
            <w:r>
              <w:rPr>
                <w:b/>
                <w:color w:val="F3EFE6"/>
                <w:sz w:val="14"/>
              </w:rPr>
              <w:t>COST BUCKET</w:t>
            </w:r>
          </w:p>
        </w:tc>
        <w:tc>
          <w:tcPr>
            <w:tcW w:type="dxa" w:w="3427"/>
            <w:shd w:fill="1A1916"/>
            <w:vAlign w:val="center"/>
          </w:tcPr>
          <w:p>
            <w:r>
              <w:rPr>
                <w:b/>
                <w:color w:val="F3EFE6"/>
                <w:sz w:val="14"/>
              </w:rPr>
              <w:t>LEAN MVP ESTIMATE</w:t>
            </w:r>
          </w:p>
        </w:tc>
        <w:tc>
          <w:tcPr>
            <w:tcW w:type="dxa" w:w="3427"/>
            <w:shd w:fill="1A1916"/>
            <w:vAlign w:val="center"/>
          </w:tcPr>
          <w:p>
            <w:r>
              <w:rPr>
                <w:b/>
                <w:color w:val="F3EFE6"/>
                <w:sz w:val="14"/>
              </w:rPr>
              <w:t>NOTES</w:t>
            </w:r>
          </w:p>
        </w:tc>
      </w:tr>
      <w:tr>
        <w:tc>
          <w:tcPr>
            <w:tcW w:type="dxa" w:w="3427"/>
            <w:shd w:fill="FFFFFF"/>
            <w:vAlign w:val="top"/>
          </w:tcPr>
          <w:p>
            <w:pPr>
              <w:spacing w:after="20"/>
            </w:pPr>
            <w:r>
              <w:rPr>
                <w:sz w:val="14"/>
              </w:rPr>
              <w:t>Cloud/DB/storage</w:t>
            </w:r>
          </w:p>
        </w:tc>
        <w:tc>
          <w:tcPr>
            <w:tcW w:type="dxa" w:w="3427"/>
            <w:shd w:fill="FFFFFF"/>
            <w:vAlign w:val="top"/>
          </w:tcPr>
          <w:p>
            <w:pPr>
              <w:spacing w:after="20"/>
            </w:pPr>
            <w:r>
              <w:rPr>
                <w:sz w:val="14"/>
              </w:rPr>
              <w:t>$20-$150/mo</w:t>
            </w:r>
          </w:p>
        </w:tc>
        <w:tc>
          <w:tcPr>
            <w:tcW w:type="dxa" w:w="3427"/>
            <w:shd w:fill="FFFFFF"/>
            <w:vAlign w:val="top"/>
          </w:tcPr>
          <w:p>
            <w:pPr>
              <w:spacing w:after="20"/>
            </w:pPr>
            <w:r>
              <w:rPr>
                <w:sz w:val="14"/>
              </w:rPr>
              <w:t>Low-volume MVP; budgets/alerts.</w:t>
            </w:r>
          </w:p>
        </w:tc>
      </w:tr>
      <w:tr>
        <w:tc>
          <w:tcPr>
            <w:tcW w:type="dxa" w:w="3427"/>
            <w:shd w:fill="F7F4EE"/>
            <w:vAlign w:val="top"/>
          </w:tcPr>
          <w:p>
            <w:pPr>
              <w:spacing w:after="20"/>
            </w:pPr>
            <w:r>
              <w:rPr>
                <w:sz w:val="14"/>
              </w:rPr>
              <w:t>Gemini paid API</w:t>
            </w:r>
          </w:p>
        </w:tc>
        <w:tc>
          <w:tcPr>
            <w:tcW w:type="dxa" w:w="3427"/>
            <w:shd w:fill="F7F4EE"/>
            <w:vAlign w:val="top"/>
          </w:tcPr>
          <w:p>
            <w:pPr>
              <w:spacing w:after="20"/>
            </w:pPr>
            <w:r>
              <w:rPr>
                <w:sz w:val="14"/>
              </w:rPr>
              <w:t>$10-$150/mo initially</w:t>
            </w:r>
          </w:p>
        </w:tc>
        <w:tc>
          <w:tcPr>
            <w:tcW w:type="dxa" w:w="3427"/>
            <w:shd w:fill="F7F4EE"/>
            <w:vAlign w:val="top"/>
          </w:tcPr>
          <w:p>
            <w:pPr>
              <w:spacing w:after="20"/>
            </w:pPr>
            <w:r>
              <w:rPr>
                <w:sz w:val="14"/>
              </w:rPr>
              <w:t>Depends on pages and model choice.</w:t>
            </w:r>
          </w:p>
        </w:tc>
      </w:tr>
      <w:tr>
        <w:tc>
          <w:tcPr>
            <w:tcW w:type="dxa" w:w="3427"/>
            <w:shd w:fill="FFFFFF"/>
            <w:vAlign w:val="top"/>
          </w:tcPr>
          <w:p>
            <w:pPr>
              <w:spacing w:after="20"/>
            </w:pPr>
            <w:r>
              <w:rPr>
                <w:sz w:val="14"/>
              </w:rPr>
              <w:t>Document OCR</w:t>
            </w:r>
          </w:p>
        </w:tc>
        <w:tc>
          <w:tcPr>
            <w:tcW w:type="dxa" w:w="3427"/>
            <w:shd w:fill="FFFFFF"/>
            <w:vAlign w:val="top"/>
          </w:tcPr>
          <w:p>
            <w:pPr>
              <w:spacing w:after="20"/>
            </w:pPr>
            <w:r>
              <w:rPr>
                <w:sz w:val="14"/>
              </w:rPr>
              <w:t>$0-$50/mo initially</w:t>
            </w:r>
          </w:p>
        </w:tc>
        <w:tc>
          <w:tcPr>
            <w:tcW w:type="dxa" w:w="3427"/>
            <w:shd w:fill="FFFFFF"/>
            <w:vAlign w:val="top"/>
          </w:tcPr>
          <w:p>
            <w:pPr>
              <w:spacing w:after="20"/>
            </w:pPr>
            <w:r>
              <w:rPr>
                <w:sz w:val="14"/>
              </w:rPr>
              <w:t>Published Enterprise Document OCR schedule starts with 1,000 free counts then $1.50/1,000.</w:t>
            </w:r>
          </w:p>
        </w:tc>
      </w:tr>
      <w:tr>
        <w:tc>
          <w:tcPr>
            <w:tcW w:type="dxa" w:w="3427"/>
            <w:shd w:fill="F7F4EE"/>
            <w:vAlign w:val="top"/>
          </w:tcPr>
          <w:p>
            <w:pPr>
              <w:spacing w:after="20"/>
            </w:pPr>
            <w:r>
              <w:rPr>
                <w:sz w:val="14"/>
              </w:rPr>
              <w:t>Messaging</w:t>
            </w:r>
          </w:p>
        </w:tc>
        <w:tc>
          <w:tcPr>
            <w:tcW w:type="dxa" w:w="3427"/>
            <w:shd w:fill="F7F4EE"/>
            <w:vAlign w:val="top"/>
          </w:tcPr>
          <w:p>
            <w:pPr>
              <w:spacing w:after="20"/>
            </w:pPr>
            <w:r>
              <w:rPr>
                <w:sz w:val="14"/>
              </w:rPr>
              <w:t>$10-$75/mo</w:t>
            </w:r>
          </w:p>
        </w:tc>
        <w:tc>
          <w:tcPr>
            <w:tcW w:type="dxa" w:w="3427"/>
            <w:shd w:fill="F7F4EE"/>
            <w:vAlign w:val="top"/>
          </w:tcPr>
          <w:p>
            <w:pPr>
              <w:spacing w:after="20"/>
            </w:pPr>
            <w:r>
              <w:rPr>
                <w:sz w:val="14"/>
              </w:rPr>
              <w:t>No PHI in external notification text.</w:t>
            </w:r>
          </w:p>
        </w:tc>
      </w:tr>
      <w:tr>
        <w:tc>
          <w:tcPr>
            <w:tcW w:type="dxa" w:w="3427"/>
            <w:shd w:fill="FFFFFF"/>
            <w:vAlign w:val="top"/>
          </w:tcPr>
          <w:p>
            <w:pPr>
              <w:spacing w:after="20"/>
            </w:pPr>
            <w:r>
              <w:rPr>
                <w:sz w:val="14"/>
              </w:rPr>
              <w:t>Payments</w:t>
            </w:r>
          </w:p>
        </w:tc>
        <w:tc>
          <w:tcPr>
            <w:tcW w:type="dxa" w:w="3427"/>
            <w:shd w:fill="FFFFFF"/>
            <w:vAlign w:val="top"/>
          </w:tcPr>
          <w:p>
            <w:pPr>
              <w:spacing w:after="20"/>
            </w:pPr>
            <w:r>
              <w:rPr>
                <w:sz w:val="14"/>
              </w:rPr>
              <w:t>2.9% + $0.30</w:t>
            </w:r>
          </w:p>
        </w:tc>
        <w:tc>
          <w:tcPr>
            <w:tcW w:type="dxa" w:w="3427"/>
            <w:shd w:fill="FFFFFF"/>
            <w:vAlign w:val="top"/>
          </w:tcPr>
          <w:p>
            <w:pPr>
              <w:spacing w:after="20"/>
            </w:pPr>
            <w:r>
              <w:rPr>
                <w:sz w:val="14"/>
              </w:rPr>
              <w:t>Stripe Standard domestic-card rate at research date.</w:t>
            </w:r>
          </w:p>
        </w:tc>
      </w:tr>
      <w:tr>
        <w:tc>
          <w:tcPr>
            <w:tcW w:type="dxa" w:w="3427"/>
            <w:shd w:fill="F7F4EE"/>
            <w:vAlign w:val="top"/>
          </w:tcPr>
          <w:p>
            <w:pPr>
              <w:spacing w:after="20"/>
            </w:pPr>
            <w:r>
              <w:rPr>
                <w:sz w:val="14"/>
              </w:rPr>
              <w:t>Legal/privacy</w:t>
            </w:r>
          </w:p>
        </w:tc>
        <w:tc>
          <w:tcPr>
            <w:tcW w:type="dxa" w:w="3427"/>
            <w:shd w:fill="F7F4EE"/>
            <w:vAlign w:val="top"/>
          </w:tcPr>
          <w:p>
            <w:pPr>
              <w:spacing w:after="20"/>
            </w:pPr>
            <w:r>
              <w:rPr>
                <w:sz w:val="14"/>
              </w:rPr>
              <w:t>$5k-$15k estimate</w:t>
            </w:r>
          </w:p>
        </w:tc>
        <w:tc>
          <w:tcPr>
            <w:tcW w:type="dxa" w:w="3427"/>
            <w:shd w:fill="F7F4EE"/>
            <w:vAlign w:val="top"/>
          </w:tcPr>
          <w:p>
            <w:pPr>
              <w:spacing w:after="20"/>
            </w:pPr>
            <w:r>
              <w:rPr>
                <w:sz w:val="14"/>
              </w:rPr>
              <w:t>Planning range, not a quote; rises with states/B2B/HIPAA.</w:t>
            </w:r>
          </w:p>
        </w:tc>
      </w:tr>
      <w:tr>
        <w:tc>
          <w:tcPr>
            <w:tcW w:type="dxa" w:w="3427"/>
            <w:shd w:fill="FFFFFF"/>
            <w:vAlign w:val="top"/>
          </w:tcPr>
          <w:p>
            <w:pPr>
              <w:spacing w:after="20"/>
            </w:pPr>
            <w:r>
              <w:rPr>
                <w:sz w:val="14"/>
              </w:rPr>
              <w:t>Security/pen test</w:t>
            </w:r>
          </w:p>
        </w:tc>
        <w:tc>
          <w:tcPr>
            <w:tcW w:type="dxa" w:w="3427"/>
            <w:shd w:fill="FFFFFF"/>
            <w:vAlign w:val="top"/>
          </w:tcPr>
          <w:p>
            <w:pPr>
              <w:spacing w:after="20"/>
            </w:pPr>
            <w:r>
              <w:rPr>
                <w:sz w:val="14"/>
              </w:rPr>
              <w:t>$2k-$8k estimate</w:t>
            </w:r>
          </w:p>
        </w:tc>
        <w:tc>
          <w:tcPr>
            <w:tcW w:type="dxa" w:w="3427"/>
            <w:shd w:fill="FFFFFF"/>
            <w:vAlign w:val="top"/>
          </w:tcPr>
          <w:p>
            <w:pPr>
              <w:spacing w:after="20"/>
            </w:pPr>
            <w:r>
              <w:rPr>
                <w:sz w:val="14"/>
              </w:rPr>
              <w:t>Before meaningful live PHI or enterprise sales.</w:t>
            </w:r>
          </w:p>
        </w:tc>
      </w:tr>
    </w:tbl>
    <w:p>
      <w:pPr>
        <w:pStyle w:val="Heading1"/>
      </w:pPr>
      <w:r>
        <w:t>Naming research</w:t>
      </w:r>
    </w:p>
    <w:p>
      <w:r>
        <w:t>Exact-match open-web searches for “ClaimCoda” did not surface an obvious active software/app brand in this research snapshot. “Claimloom” is active in insurance claims document verification, so ClaimLoom is rejected. Formal USPTO, state marks, domains, app stores and social handles still must be checked.</w:t>
      </w:r>
    </w:p>
    <w:p>
      <w:pPr>
        <w:pStyle w:val="ListBullet"/>
        <w:spacing w:after="44"/>
      </w:pPr>
      <w:r>
        <w:t>Working name: ClaimCoda</w:t>
      </w:r>
    </w:p>
    <w:p>
      <w:pPr>
        <w:pStyle w:val="ListBullet"/>
        <w:spacing w:after="44"/>
      </w:pPr>
      <w:r>
        <w:t>Before brand spend: USPTO federal search, state marks, domain registrar, Apple/Google app stores, social handles, and confusing-similarity review.</w:t>
      </w:r>
    </w:p>
    <w:p>
      <w:pPr>
        <w:pStyle w:val="Heading1"/>
      </w:pPr>
      <w:r>
        <w:t>90-day validation plan</w:t>
      </w:r>
    </w:p>
    <w:p>
      <w:pPr>
        <w:pStyle w:val="ListNumber"/>
        <w:spacing w:after="50"/>
      </w:pPr>
      <w:r>
        <w:t>Interview 20 people with a denial in the last 12 months and map the real failure points.</w:t>
      </w:r>
    </w:p>
    <w:p>
      <w:pPr>
        <w:pStyle w:val="ListNumber"/>
        <w:spacing w:after="50"/>
      </w:pPr>
      <w:r>
        <w:t>Build an AI Studio synthetic-denial demo producing a source-linked case summary and evidence checklist.</w:t>
      </w:r>
    </w:p>
    <w:p>
      <w:pPr>
        <w:pStyle w:val="ListNumber"/>
        <w:spacing w:after="50"/>
      </w:pPr>
      <w:r>
        <w:t>Pilot only with synthetic/de-identified records until privacy controls and vendor configuration are ready for live data.</w:t>
      </w:r>
    </w:p>
    <w:p>
      <w:pPr>
        <w:pStyle w:val="ListNumber"/>
        <w:spacing w:after="50"/>
      </w:pPr>
      <w:r>
        <w:t>Measure time-to-understanding, packet completion and willingness to pay before automating submission.</w:t>
      </w:r>
    </w:p>
    <w:p>
      <w:pPr>
        <w:pStyle w:val="ListNumber"/>
        <w:spacing w:after="50"/>
      </w:pPr>
      <w:r>
        <w:t>Get health/privacy counsel to review claims, state matrix, authorized-representative boundaries and data flow before live PHI.</w:t>
      </w:r>
    </w:p>
    <w:p>
      <w:pPr>
        <w:pStyle w:val="Heading1"/>
      </w:pPr>
      <w:r>
        <w:t>Research sources</w:t>
      </w:r>
    </w:p>
    <w:p>
      <w:r>
        <w:rPr>
          <w:b/>
        </w:rPr>
        <w:t xml:space="preserve">Research snapshot: </w:t>
      </w:r>
      <w:r>
        <w:t>September 10, 2026. Re-check prices, vendor terms, statutes and product features before launch or contracting.</w:t>
      </w:r>
    </w:p>
    <w:p>
      <w:pPr>
        <w:pStyle w:val="ListBullet"/>
        <w:spacing w:after="32"/>
      </w:pPr>
      <w:r>
        <w:t xml:space="preserve">KFF - Claims Denials and Appeals in ACA Marketplace Plans in 2024 — </w:t>
      </w:r>
      <w:hyperlink r:id="rId11">
        <w:r>
          <w:rPr>
            <w:color w:val="7C642F"/>
            <w:u w:val="single"/>
          </w:rPr>
          <w:t>https://www.kff.org/patient-consumer-protections/claims-denials-and-appeals-in-aca-marketplace-plans-in-2024/</w:t>
        </w:r>
      </w:hyperlink>
    </w:p>
    <w:p>
      <w:pPr>
        <w:pStyle w:val="ListBullet"/>
        <w:spacing w:after="32"/>
      </w:pPr>
      <w:r>
        <w:t xml:space="preserve">CMS - Appealing Health Plan Decisions — </w:t>
      </w:r>
      <w:hyperlink r:id="rId12">
        <w:r>
          <w:rPr>
            <w:color w:val="7C642F"/>
            <w:u w:val="single"/>
          </w:rPr>
          <w:t>https://www.cms.gov/cciio/resources/fact-sheets-and-faqs/indexappealinghealthplandecisions</w:t>
        </w:r>
      </w:hyperlink>
    </w:p>
    <w:p>
      <w:pPr>
        <w:pStyle w:val="ListBullet"/>
        <w:spacing w:after="32"/>
      </w:pPr>
      <w:r>
        <w:t xml:space="preserve">CMS - External Appeals — </w:t>
      </w:r>
      <w:hyperlink r:id="rId13">
        <w:r>
          <w:rPr>
            <w:color w:val="7C642F"/>
            <w:u w:val="single"/>
          </w:rPr>
          <w:t>https://www.cms.gov/marketplace/about/affordable-care-act/external-appeals</w:t>
        </w:r>
      </w:hyperlink>
    </w:p>
    <w:p>
      <w:pPr>
        <w:pStyle w:val="ListBullet"/>
        <w:spacing w:after="32"/>
      </w:pPr>
      <w:r>
        <w:t xml:space="preserve">HHS - Health apps, APIs and HIPAA — </w:t>
      </w:r>
      <w:hyperlink r:id="rId14">
        <w:r>
          <w:rPr>
            <w:color w:val="7C642F"/>
            <w:u w:val="single"/>
          </w:rPr>
          <w:t>https://www.hhs.gov/hipaa/for-professionals/privacy/guidance/access-right-health-apps-apis/index.html</w:t>
        </w:r>
      </w:hyperlink>
    </w:p>
    <w:p>
      <w:pPr>
        <w:pStyle w:val="ListBullet"/>
        <w:spacing w:after="32"/>
      </w:pPr>
      <w:r>
        <w:t xml:space="preserve">FTC - Health Breach Notification Rule — </w:t>
      </w:r>
      <w:hyperlink r:id="rId15">
        <w:r>
          <w:rPr>
            <w:color w:val="7C642F"/>
            <w:u w:val="single"/>
          </w:rPr>
          <w:t>https://www.ftc.gov/legal-library/browse/rules/health-breach-notification-rule</w:t>
        </w:r>
      </w:hyperlink>
    </w:p>
    <w:p>
      <w:pPr>
        <w:pStyle w:val="ListBullet"/>
        <w:spacing w:after="32"/>
      </w:pPr>
      <w:r>
        <w:t xml:space="preserve">FDA - Clinical Decision Support Software — </w:t>
      </w:r>
      <w:hyperlink r:id="rId16">
        <w:r>
          <w:rPr>
            <w:color w:val="7C642F"/>
            <w:u w:val="single"/>
          </w:rPr>
          <w:t>https://www.fda.gov/regulatory-information/search-fda-guidance-documents/clinical-decision-support-software</w:t>
        </w:r>
      </w:hyperlink>
    </w:p>
    <w:p>
      <w:pPr>
        <w:pStyle w:val="ListBullet"/>
        <w:spacing w:after="32"/>
      </w:pPr>
      <w:r>
        <w:t xml:space="preserve">Washington My Health My Data Act — </w:t>
      </w:r>
      <w:hyperlink r:id="rId17">
        <w:r>
          <w:rPr>
            <w:color w:val="7C642F"/>
            <w:u w:val="single"/>
          </w:rPr>
          <w:t>https://app.leg.wa.gov/RCW/default.aspx?cite=19.373</w:t>
        </w:r>
      </w:hyperlink>
    </w:p>
    <w:p>
      <w:pPr>
        <w:pStyle w:val="ListBullet"/>
        <w:spacing w:after="32"/>
      </w:pPr>
      <w:r>
        <w:t xml:space="preserve">Nevada SB 370 consumer health data — </w:t>
      </w:r>
      <w:hyperlink r:id="rId18">
        <w:r>
          <w:rPr>
            <w:color w:val="7C642F"/>
            <w:u w:val="single"/>
          </w:rPr>
          <w:t>https://www.leg.state.nv.us/Statutes/82nd2023/Stats202329.html</w:t>
        </w:r>
      </w:hyperlink>
    </w:p>
    <w:p>
      <w:pPr>
        <w:pStyle w:val="ListBullet"/>
        <w:spacing w:after="32"/>
      </w:pPr>
      <w:r>
        <w:t xml:space="preserve">Google AI Studio - Build apps — </w:t>
      </w:r>
      <w:hyperlink r:id="rId19">
        <w:r>
          <w:rPr>
            <w:color w:val="7C642F"/>
            <w:u w:val="single"/>
          </w:rPr>
          <w:t>https://ai.google.dev/gemini-api/docs/aistudio-build-mode</w:t>
        </w:r>
      </w:hyperlink>
    </w:p>
    <w:p>
      <w:pPr>
        <w:pStyle w:val="ListBullet"/>
        <w:spacing w:after="32"/>
      </w:pPr>
      <w:r>
        <w:t xml:space="preserve">Google AI Studio - Full-stack apps — </w:t>
      </w:r>
      <w:hyperlink r:id="rId20">
        <w:r>
          <w:rPr>
            <w:color w:val="7C642F"/>
            <w:u w:val="single"/>
          </w:rPr>
          <w:t>https://ai.google.dev/gemini-api/docs/aistudio-fullstack</w:t>
        </w:r>
      </w:hyperlink>
    </w:p>
    <w:p>
      <w:pPr>
        <w:pStyle w:val="ListBullet"/>
        <w:spacing w:after="32"/>
      </w:pPr>
      <w:r>
        <w:t xml:space="preserve">Gemini Developer API pricing — </w:t>
      </w:r>
      <w:hyperlink r:id="rId21">
        <w:r>
          <w:rPr>
            <w:color w:val="7C642F"/>
            <w:u w:val="single"/>
          </w:rPr>
          <w:t>https://ai.google.dev/gemini-api/docs/pricing</w:t>
        </w:r>
      </w:hyperlink>
    </w:p>
    <w:p>
      <w:pPr>
        <w:pStyle w:val="ListBullet"/>
        <w:spacing w:after="32"/>
      </w:pPr>
      <w:r>
        <w:t xml:space="preserve">Google Cloud HIPAA compliance — </w:t>
      </w:r>
      <w:hyperlink r:id="rId22">
        <w:r>
          <w:rPr>
            <w:color w:val="7C642F"/>
            <w:u w:val="single"/>
          </w:rPr>
          <w:t>https://cloud.google.com/security/compliance/hipaa-compliance</w:t>
        </w:r>
      </w:hyperlink>
    </w:p>
    <w:p>
      <w:pPr>
        <w:pStyle w:val="ListBullet"/>
        <w:spacing w:after="32"/>
      </w:pPr>
      <w:r>
        <w:t xml:space="preserve">Google Cloud Identity Platform pricing — </w:t>
      </w:r>
      <w:hyperlink r:id="rId23">
        <w:r>
          <w:rPr>
            <w:color w:val="7C642F"/>
            <w:u w:val="single"/>
          </w:rPr>
          <w:t>https://cloud.google.com/identity-platform/pricing</w:t>
        </w:r>
      </w:hyperlink>
    </w:p>
    <w:p>
      <w:pPr>
        <w:pStyle w:val="ListBullet"/>
        <w:spacing w:after="32"/>
      </w:pPr>
      <w:r>
        <w:t xml:space="preserve">Clerk security &amp; compliance — </w:t>
      </w:r>
      <w:hyperlink r:id="rId24">
        <w:r>
          <w:rPr>
            <w:color w:val="7C642F"/>
            <w:u w:val="single"/>
          </w:rPr>
          <w:t>https://clerk.com/security</w:t>
        </w:r>
      </w:hyperlink>
    </w:p>
    <w:p>
      <w:pPr>
        <w:pStyle w:val="ListBullet"/>
        <w:spacing w:after="32"/>
      </w:pPr>
      <w:r>
        <w:t xml:space="preserve">Clerk pricing — </w:t>
      </w:r>
      <w:hyperlink r:id="rId25">
        <w:r>
          <w:rPr>
            <w:color w:val="7C642F"/>
            <w:u w:val="single"/>
          </w:rPr>
          <w:t>https://clerk.com/pricing</w:t>
        </w:r>
      </w:hyperlink>
    </w:p>
    <w:p>
      <w:pPr>
        <w:pStyle w:val="ListBullet"/>
        <w:spacing w:after="32"/>
      </w:pPr>
      <w:r>
        <w:t xml:space="preserve">Google Cloud Document AI pricing — </w:t>
      </w:r>
      <w:hyperlink r:id="rId26">
        <w:r>
          <w:rPr>
            <w:color w:val="7C642F"/>
            <w:u w:val="single"/>
          </w:rPr>
          <w:t>https://cloud.google.com/products/document-ai/pricing</w:t>
        </w:r>
      </w:hyperlink>
    </w:p>
    <w:p>
      <w:pPr>
        <w:pStyle w:val="ListBullet"/>
        <w:spacing w:after="32"/>
      </w:pPr>
      <w:r>
        <w:t xml:space="preserve">Stripe pricing — </w:t>
      </w:r>
      <w:hyperlink r:id="rId27">
        <w:r>
          <w:rPr>
            <w:color w:val="7C642F"/>
            <w:u w:val="single"/>
          </w:rPr>
          <w:t>https://stripe.com/pricing</w:t>
        </w:r>
      </w:hyperlink>
    </w:p>
    <w:p>
      <w:pPr>
        <w:pStyle w:val="ListBullet"/>
        <w:spacing w:after="32"/>
      </w:pPr>
      <w:r>
        <w:t xml:space="preserve">Twilio U.S. SMS pricing — </w:t>
      </w:r>
      <w:hyperlink r:id="rId28">
        <w:r>
          <w:rPr>
            <w:color w:val="7C642F"/>
            <w:u w:val="single"/>
          </w:rPr>
          <w:t>https://www.twilio.com/en-us/sms/pricing/us</w:t>
        </w:r>
      </w:hyperlink>
    </w:p>
    <w:sectPr w:rsidR="00FC693F" w:rsidRPr="0006063C" w:rsidSect="00034616">
      <w:headerReference w:type="default" r:id="rId9"/>
      <w:footerReference w:type="default" r:id="rId10"/>
      <w:pgSz w:w="12240" w:h="15840"/>
      <w:pgMar w:top="893"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06C64"/>
        <w:sz w:val="15"/>
      </w:rPr>
      <w:t>Planning document | Not legal, medical, or regulatory advice</w:t>
    </w:r>
    <w:r>
      <w:rPr>
        <w:color w:val="706C64"/>
        <w:sz w:val="15"/>
      </w:rPr>
      <w:t xml:space="preserve">  |  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icker"/>
      <w:jc w:val="right"/>
    </w:pPr>
    <w:r>
      <w:t>FOUNDER BUILD PACK  |  RESEARCH-BACKED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color w:val="11110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1110F"/>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7C642F"/>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Display" w:hAnsi="Aptos Display"/>
      <w:b/>
      <w:bCs/>
      <w:color w:val="11110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1110F"/>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rPr>
      <w:rFonts w:ascii="Aptos" w:hAnsi="Aptos"/>
      <w:b/>
      <w:caps/>
      <w:color w:val="7C642F"/>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kff.org/patient-consumer-protections/claims-denials-and-appeals-in-aca-marketplace-plans-in-2024/" TargetMode="External"/><Relationship Id="rId12" Type="http://schemas.openxmlformats.org/officeDocument/2006/relationships/hyperlink" Target="https://www.cms.gov/cciio/resources/fact-sheets-and-faqs/indexappealinghealthplandecisions" TargetMode="External"/><Relationship Id="rId13" Type="http://schemas.openxmlformats.org/officeDocument/2006/relationships/hyperlink" Target="https://www.cms.gov/marketplace/about/affordable-care-act/external-appeals" TargetMode="External"/><Relationship Id="rId14" Type="http://schemas.openxmlformats.org/officeDocument/2006/relationships/hyperlink" Target="https://www.hhs.gov/hipaa/for-professionals/privacy/guidance/access-right-health-apps-apis/index.html" TargetMode="External"/><Relationship Id="rId15" Type="http://schemas.openxmlformats.org/officeDocument/2006/relationships/hyperlink" Target="https://www.ftc.gov/legal-library/browse/rules/health-breach-notification-rule" TargetMode="External"/><Relationship Id="rId16" Type="http://schemas.openxmlformats.org/officeDocument/2006/relationships/hyperlink" Target="https://www.fda.gov/regulatory-information/search-fda-guidance-documents/clinical-decision-support-software" TargetMode="External"/><Relationship Id="rId17" Type="http://schemas.openxmlformats.org/officeDocument/2006/relationships/hyperlink" Target="https://app.leg.wa.gov/RCW/default.aspx?cite=19.373" TargetMode="External"/><Relationship Id="rId18" Type="http://schemas.openxmlformats.org/officeDocument/2006/relationships/hyperlink" Target="https://www.leg.state.nv.us/Statutes/82nd2023/Stats202329.html" TargetMode="External"/><Relationship Id="rId19" Type="http://schemas.openxmlformats.org/officeDocument/2006/relationships/hyperlink" Target="https://ai.google.dev/gemini-api/docs/aistudio-build-mode" TargetMode="External"/><Relationship Id="rId20" Type="http://schemas.openxmlformats.org/officeDocument/2006/relationships/hyperlink" Target="https://ai.google.dev/gemini-api/docs/aistudio-fullstack" TargetMode="External"/><Relationship Id="rId21" Type="http://schemas.openxmlformats.org/officeDocument/2006/relationships/hyperlink" Target="https://ai.google.dev/gemini-api/docs/pricing" TargetMode="External"/><Relationship Id="rId22" Type="http://schemas.openxmlformats.org/officeDocument/2006/relationships/hyperlink" Target="https://cloud.google.com/security/compliance/hipaa-compliance" TargetMode="External"/><Relationship Id="rId23" Type="http://schemas.openxmlformats.org/officeDocument/2006/relationships/hyperlink" Target="https://cloud.google.com/identity-platform/pricing" TargetMode="External"/><Relationship Id="rId24" Type="http://schemas.openxmlformats.org/officeDocument/2006/relationships/hyperlink" Target="https://clerk.com/security" TargetMode="External"/><Relationship Id="rId25" Type="http://schemas.openxmlformats.org/officeDocument/2006/relationships/hyperlink" Target="https://clerk.com/pricing" TargetMode="External"/><Relationship Id="rId26" Type="http://schemas.openxmlformats.org/officeDocument/2006/relationships/hyperlink" Target="https://cloud.google.com/products/document-ai/pricing" TargetMode="External"/><Relationship Id="rId27" Type="http://schemas.openxmlformats.org/officeDocument/2006/relationships/hyperlink" Target="https://stripe.com/pricing" TargetMode="External"/><Relationship Id="rId28" Type="http://schemas.openxmlformats.org/officeDocument/2006/relationships/hyperlink" Target="https://www.twilio.com/en-us/sms/pricing/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ClaimCoda Business Case</dc:title>
  <dc:subject>Founder build pack</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