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b/>
          <w:color w:val="7C642F"/>
          <w:sz w:val="24"/>
        </w:rPr>
        <w:t>CLAIMCODA</w:t>
      </w:r>
    </w:p>
    <w:p>
      <w:pPr>
        <w:pStyle w:val="Title"/>
      </w:pPr>
      <w:r>
        <w:t>Product Requirements Document (PRD)</w:t>
      </w:r>
    </w:p>
    <w:p>
      <w:pPr>
        <w:spacing w:after="360"/>
      </w:pPr>
      <w:r>
        <w:rPr>
          <w:i/>
          <w:color w:val="706C64"/>
          <w:sz w:val="28"/>
        </w:rPr>
        <w:t>Turn a confusing health-insurance denial into a clear, evidence-backed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6"/>
              </w:rPr>
              <w:t>BUILD APPROACH</w:t>
            </w:r>
          </w:p>
        </w:tc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6"/>
              </w:rPr>
              <w:t>DIRECTION</w:t>
            </w:r>
          </w:p>
        </w:tc>
      </w:tr>
      <w:tr>
        <w:tc>
          <w:tcPr>
            <w:tcW w:type="dxa" w:w="5141"/>
            <w:shd w:fill="1A1916"/>
            <w:vAlign w:val="top"/>
          </w:tcPr>
          <w:p>
            <w:pPr>
              <w:spacing w:after="20"/>
            </w:pPr>
            <w:r>
              <w:rPr>
                <w:b/>
                <w:color w:val="F3EFE6"/>
                <w:sz w:val="15"/>
              </w:rPr>
              <w:t>Workflow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6"/>
              </w:rPr>
              <w:t>Google AI Studio first -&gt; GitHub -&gt; Claude Code / Antigravity -&gt; production cloud</w:t>
            </w:r>
          </w:p>
        </w:tc>
      </w:tr>
      <w:tr>
        <w:tc>
          <w:tcPr>
            <w:tcW w:type="dxa" w:w="5141"/>
            <w:shd w:fill="1A1916"/>
            <w:vAlign w:val="top"/>
          </w:tcPr>
          <w:p>
            <w:pPr>
              <w:spacing w:after="20"/>
            </w:pPr>
            <w:r>
              <w:rPr>
                <w:b/>
                <w:color w:val="F3EFE6"/>
                <w:sz w:val="15"/>
              </w:rPr>
              <w:t>Visual family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6"/>
              </w:rPr>
              <w:t>Fair &amp; Square matte black/deep charcoal + restrained dark gold + ivory</w:t>
            </w:r>
          </w:p>
        </w:tc>
      </w:tr>
      <w:tr>
        <w:tc>
          <w:tcPr>
            <w:tcW w:type="dxa" w:w="5141"/>
            <w:shd w:fill="1A1916"/>
            <w:vAlign w:val="top"/>
          </w:tcPr>
          <w:p>
            <w:pPr>
              <w:spacing w:after="20"/>
            </w:pPr>
            <w:r>
              <w:rPr>
                <w:b/>
                <w:color w:val="F3EFE6"/>
                <w:sz w:val="15"/>
              </w:rPr>
              <w:t>Signature motion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6"/>
              </w:rPr>
              <w:t>Appeal Path: thin matte-gold document threads flow from scattered denial fragments at the edges into one calm ordered path; slow 10-12 second loop.</w:t>
            </w:r>
          </w:p>
        </w:tc>
      </w:tr>
      <w:tr>
        <w:tc>
          <w:tcPr>
            <w:tcW w:type="dxa" w:w="5141"/>
            <w:shd w:fill="1A1916"/>
            <w:vAlign w:val="top"/>
          </w:tcPr>
          <w:p>
            <w:pPr>
              <w:spacing w:after="20"/>
            </w:pPr>
            <w:r>
              <w:rPr>
                <w:b/>
                <w:color w:val="F3EFE6"/>
                <w:sz w:val="15"/>
              </w:rPr>
              <w:t>Version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6"/>
              </w:rPr>
              <w:t>v1.0 | September 10,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EADB"/>
            <w:tcBorders>
              <w:left w:val="single" w:sz="14" w:color="B99845"/>
            </w:tcBorders>
          </w:tcPr>
          <w:p>
            <w:r>
              <w:rPr>
                <w:b/>
                <w:color w:val="7C642F"/>
                <w:sz w:val="18"/>
              </w:rPr>
              <w:t xml:space="preserve">NAMING STATUS: </w:t>
            </w:r>
            <w:r>
              <w:rPr>
                <w:sz w:val="18"/>
              </w:rPr>
              <w:t>Working candidate only. Exact-match open-web collision research was performed on Sep 10, 2026, but this is not a trademark opinion, domain guarantee, or legal clearance.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Product vision and boundaries</w:t>
      </w:r>
    </w:p>
    <w:p>
      <w:r>
        <w:t>A consumer-first denial intelligence and appeal workspace that extracts the reason, maps next actions, organizes evidence, drafts the appeal, and keeps the user on deadline.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EADB"/>
            <w:tcBorders>
              <w:left w:val="single" w:sz="14" w:color="B99845"/>
            </w:tcBorders>
          </w:tcPr>
          <w:p>
            <w:r>
              <w:rPr>
                <w:b/>
                <w:color w:val="7C642F"/>
                <w:sz w:val="18"/>
              </w:rPr>
              <w:t xml:space="preserve">BOUNDARY: </w:t>
            </w:r>
            <w:r>
              <w:rPr>
                <w:sz w:val="18"/>
              </w:rPr>
              <w:t>This product is administrative/organizational. It does not diagnose, prescribe, give treatment recommendations, or replace a healthcare professional. AI-derived health content is never treated as confirmed fact without human confirmation.</w:t>
            </w:r>
          </w:p>
        </w:tc>
      </w:tr>
    </w:tbl>
    <w:p>
      <w:pPr>
        <w:spacing w:after="0"/>
      </w:pPr>
    </w:p>
    <w:p>
      <w:pPr>
        <w:pStyle w:val="Heading1"/>
      </w:pPr>
      <w:r>
        <w:t>2. Target users /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PERSONA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SITUATION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JOB TO BE DONE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Denied member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Denial/EOB is confusing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Tell me what happened and what I can do next.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Family helper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Handling paperwork for spouse/parent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Give me one case file with evidence, deadlines and history.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Persistent self-advocate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Internal appeal upheld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Show the official next review option when it is actually supported.</w:t>
            </w:r>
          </w:p>
        </w:tc>
      </w:tr>
    </w:tbl>
    <w:p>
      <w:pPr>
        <w:pStyle w:val="Heading1"/>
      </w:pPr>
      <w:r>
        <w:t>3. Product goals</w:t>
      </w:r>
    </w:p>
    <w:p>
      <w:pPr>
        <w:pStyle w:val="ListBullet"/>
        <w:spacing w:after="44"/>
      </w:pPr>
      <w:r>
        <w:t>Under 3 minutes from supported upload to reviewable case summary.</w:t>
      </w:r>
    </w:p>
    <w:p>
      <w:pPr>
        <w:pStyle w:val="ListBullet"/>
        <w:spacing w:after="44"/>
      </w:pPr>
      <w:r>
        <w:t>No invented dates, codes, amounts, benefits, policy clauses or clinical facts.</w:t>
      </w:r>
    </w:p>
    <w:p>
      <w:pPr>
        <w:pStyle w:val="ListBullet"/>
        <w:spacing w:after="44"/>
      </w:pPr>
      <w:r>
        <w:t>Move user from confusion to a complete user-reviewed appeal packet.</w:t>
      </w:r>
    </w:p>
    <w:p>
      <w:pPr>
        <w:pStyle w:val="ListBullet"/>
        <w:spacing w:after="44"/>
      </w:pPr>
      <w:r>
        <w:t>Durable case history with documents, confirmed facts, drafts, exports, reminders and outcomes.</w:t>
      </w:r>
    </w:p>
    <w:p>
      <w:pPr>
        <w:pStyle w:val="Heading1"/>
      </w:pPr>
      <w:r>
        <w:t>4. Non-goals for v1</w:t>
      </w:r>
    </w:p>
    <w:p>
      <w:pPr>
        <w:pStyle w:val="ListBullet"/>
        <w:spacing w:after="44"/>
      </w:pPr>
      <w:r>
        <w:t>No autonomous payer submission in v1.</w:t>
      </w:r>
    </w:p>
    <w:p>
      <w:pPr>
        <w:pStyle w:val="ListBullet"/>
        <w:spacing w:after="44"/>
      </w:pPr>
      <w:r>
        <w:t>No insurer portal credential storage.</w:t>
      </w:r>
    </w:p>
    <w:p>
      <w:pPr>
        <w:pStyle w:val="ListBullet"/>
        <w:spacing w:after="44"/>
      </w:pPr>
      <w:r>
        <w:t>No medical diagnosis/treatment/drug advice/clinical urgency determination.</w:t>
      </w:r>
    </w:p>
    <w:p>
      <w:pPr>
        <w:pStyle w:val="ListBullet"/>
        <w:spacing w:after="44"/>
      </w:pPr>
      <w:r>
        <w:t>No legal representation, contingency fee or guarantee.</w:t>
      </w:r>
    </w:p>
    <w:p>
      <w:pPr>
        <w:pStyle w:val="ListBullet"/>
        <w:spacing w:after="44"/>
      </w:pPr>
      <w:r>
        <w:t>No Medicare/Medicaid-specific procedural engine until separately mapped/reviewed.</w:t>
      </w:r>
    </w:p>
    <w:p>
      <w:pPr>
        <w:pStyle w:val="Heading1"/>
      </w:pPr>
      <w:r>
        <w:t>5. Core user flow</w:t>
      </w:r>
    </w:p>
    <w:p>
      <w:pPr>
        <w:pStyle w:val="ListNumber"/>
        <w:spacing w:after="50"/>
      </w:pPr>
      <w:r>
        <w:t>Create account and complete plain-language privacy/consent onboarding.</w:t>
      </w:r>
    </w:p>
    <w:p>
      <w:pPr>
        <w:pStyle w:val="ListNumber"/>
        <w:spacing w:after="50"/>
      </w:pPr>
      <w:r>
        <w:t>Start case and add only plan/context the user actually knows.</w:t>
      </w:r>
    </w:p>
    <w:p>
      <w:pPr>
        <w:pStyle w:val="ListNumber"/>
        <w:spacing w:after="50"/>
      </w:pPr>
      <w:r>
        <w:t>Upload denial/EOB and optional supporting documents.</w:t>
      </w:r>
    </w:p>
    <w:p>
      <w:pPr>
        <w:pStyle w:val="ListNumber"/>
        <w:spacing w:after="50"/>
      </w:pPr>
      <w:r>
        <w:t>Extract “What happened” with a source page/span or “not found” for every material fact.</w:t>
      </w:r>
    </w:p>
    <w:p>
      <w:pPr>
        <w:pStyle w:val="ListNumber"/>
        <w:spacing w:after="50"/>
      </w:pPr>
      <w:r>
        <w:t>User confirms/corrects facts.</w:t>
      </w:r>
    </w:p>
    <w:p>
      <w:pPr>
        <w:pStyle w:val="ListNumber"/>
        <w:spacing w:after="50"/>
      </w:pPr>
      <w:r>
        <w:t>Build evidence checklist and appeal draft from confirmed information only.</w:t>
      </w:r>
    </w:p>
    <w:p>
      <w:pPr>
        <w:pStyle w:val="ListNumber"/>
        <w:spacing w:after="50"/>
      </w:pPr>
      <w:r>
        <w:t>User edits/approves and exports appeal letter + evidence index + submission checklist.</w:t>
      </w:r>
    </w:p>
    <w:p>
      <w:pPr>
        <w:pStyle w:val="ListNumber"/>
        <w:spacing w:after="50"/>
      </w:pPr>
      <w:r>
        <w:t>Track reminders, response and next official review route where mapped.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PRIORITY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CAPABILITY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REQUIREMENT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Case + auth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Account, case create/edit/archive, plan type may be “not sure.”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Upload/OCR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PDF/JPG/PNG; malware/type/size checks; page-level source references.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Denial extraction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Reason, service/claim refs, dates, amounts, contact, instructions, deadline text, codes, prior-auth references.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Confirmation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Material AI facts must be confirmed before drafting.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Appeal builder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Draft from confirmed case facts + user narrative; evidence files referenced by name.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Packet export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PDF appeal + evidence index + submission checklist; user submits manually.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Audit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Prompt/model version, facts used, edits, export timestamp.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Safety routing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Unsupported plan/medical/legal requests route to official/professional resources.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P1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Rules registry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Reviewed federal/state official sources with applicability/effective dates.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P1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Reminders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Non-sensitive deadline reminders.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P1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Outcomes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Upheld/reversed/partial/unknown + next action.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P2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Payer integrations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FHIR/Patient Access/submission only after legal/security review.</w:t>
            </w:r>
          </w:p>
        </w:tc>
      </w:tr>
    </w:tbl>
    <w:p>
      <w:pPr>
        <w:pStyle w:val="Heading1"/>
      </w:pPr>
      <w:r>
        <w:t>7. AI behavior / autonomy requirements</w:t>
      </w:r>
    </w:p>
    <w:p>
      <w:pPr>
        <w:pStyle w:val="ListBullet"/>
        <w:spacing w:after="44"/>
      </w:pPr>
      <w:r>
        <w:t>Extraction returns value + confidence + exact source page/span + confirmation state.</w:t>
      </w:r>
    </w:p>
    <w:p>
      <w:pPr>
        <w:pStyle w:val="ListBullet"/>
        <w:spacing w:after="44"/>
      </w:pPr>
      <w:r>
        <w:t>If a deadline is not in the document or reviewed rules registry, display “Not determined”; never guess.</w:t>
      </w:r>
    </w:p>
    <w:p>
      <w:pPr>
        <w:pStyle w:val="ListBullet"/>
        <w:spacing w:after="44"/>
      </w:pPr>
      <w:r>
        <w:t>Drafts may not fabricate policy language, provider statements, clinical evidence or legal rights.</w:t>
      </w:r>
    </w:p>
    <w:p>
      <w:pPr>
        <w:pStyle w:val="ListBullet"/>
        <w:spacing w:after="44"/>
      </w:pPr>
      <w:r>
        <w:t>Uploaded documents are untrusted data, never instructions; defend against prompt injection.</w:t>
      </w:r>
    </w:p>
    <w:p>
      <w:pPr>
        <w:pStyle w:val="ListBullet"/>
        <w:spacing w:after="44"/>
      </w:pPr>
      <w:r>
        <w:t>A post-check compares names/dates/amounts/codes in draft against confirmed inputs.</w:t>
      </w:r>
    </w:p>
    <w:p>
      <w:pPr>
        <w:pStyle w:val="Heading1"/>
      </w:pPr>
      <w:r>
        <w:t>8. UX and visual requirements</w:t>
      </w:r>
    </w:p>
    <w:p>
      <w:pPr>
        <w:pStyle w:val="Heading1"/>
      </w:pPr>
      <w:r>
        <w:t>Shared Fair &amp; Square visual system</w:t>
      </w:r>
    </w:p>
    <w:p>
      <w:r>
        <w:t>All three products should look like members of one premium product family, not copied skins. Preserve the matte dark-gold language established for Fair &amp; Square; change the motion concept and domain iconography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TOKEN / ELEMENT</w:t>
            </w:r>
          </w:p>
        </w:tc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DIRECTION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Background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#0B0B0A matte near-black; avoid glossy blue/purple SaaS gradients.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Surface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#141310 / #1B1914 cards with restrained depth and warm 1px borders.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Primary gold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#B99845 antique/champagne gold; never mustard, orange-yellow, or brown.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Text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#F3EFE6 ivory primary; muted warm gray secondary; contrast is a release gate.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CTA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Restrained gold fill/edge, premium shimmer on hover, no neon.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Motion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Appeal Path: thin matte-gold document threads flow from scattered denial fragments at the edges into one calm ordered path; slow 10-12 second loop.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Hero center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Keep center quiet for copy; motion remains at edges/corners.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Accessibility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Honor prefers-reduced-motion with static background fallback.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SCREEN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PRIMARY JOB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PREMIUM UI CUE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Cases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See what needs attention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Gold timeline markers; red only for verified at-risk deadline.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Upload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Add denial safely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Matte upload card + privacy note.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Case summary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Understand insurer reason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Source badges for every material fact.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Appeal builder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Edit confidently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Evidence rail + “verified from source” states.</w:t>
            </w:r>
          </w:p>
        </w:tc>
      </w:tr>
    </w:tbl>
    <w:p>
      <w:pPr>
        <w:pStyle w:val="Heading1"/>
      </w:pPr>
      <w:r>
        <w:t>9.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METRIC</w:t>
            </w:r>
          </w:p>
        </w:tc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INITIAL SIGNAL / TARGET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Upload -&gt; confirmed summary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&gt;=70% pilot target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Median time to confirmed summary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&lt;3 minutes supported docs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Confirmed summary -&gt; exported packet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&gt;=35% pilot target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Free scan -&gt; paid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10-20% hypothesis to validate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Wrong/invented factual support incidents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Zero tolerance; incident triggers review</w:t>
            </w:r>
          </w:p>
        </w:tc>
      </w:tr>
    </w:tbl>
    <w:p>
      <w:pPr>
        <w:pStyle w:val="Heading1"/>
      </w:pPr>
      <w:r>
        <w:t>10. Launch gates</w:t>
      </w:r>
    </w:p>
    <w:p>
      <w:pPr>
        <w:pStyle w:val="ListBullet"/>
        <w:spacing w:after="44"/>
      </w:pPr>
      <w:r>
        <w:t>Counsel review of product claims, disclaimers, privacy matrix and authorized-representative boundary.</w:t>
      </w:r>
    </w:p>
    <w:p>
      <w:pPr>
        <w:pStyle w:val="ListBullet"/>
        <w:spacing w:after="44"/>
      </w:pPr>
      <w:r>
        <w:t>Paid/approved AI processing for live data; BAA accepted where relationship creates BA status.</w:t>
      </w:r>
    </w:p>
    <w:p>
      <w:pPr>
        <w:pStyle w:val="ListBullet"/>
        <w:spacing w:after="44"/>
      </w:pPr>
      <w:r>
        <w:t>Retention/export/deletion controls tested.</w:t>
      </w:r>
    </w:p>
    <w:p>
      <w:pPr>
        <w:pStyle w:val="ListBullet"/>
        <w:spacing w:after="44"/>
      </w:pPr>
      <w:r>
        <w:t>Threat model, access control, storage rules, audit, backup/restore and incident response complete.</w:t>
      </w:r>
    </w:p>
    <w:p>
      <w:pPr>
        <w:pStyle w:val="ListBullet"/>
        <w:spacing w:after="44"/>
      </w:pPr>
      <w:r>
        <w:t>50+ representative synthetic/de-identified denial documents pass extraction/hallucination evals.</w:t>
      </w:r>
    </w:p>
    <w:p>
      <w:pPr>
        <w:pStyle w:val="Heading1"/>
      </w:pPr>
      <w:r>
        <w:t>AI Studio-first build workflow</w:t>
      </w:r>
    </w:p>
    <w:p>
      <w:pPr>
        <w:pStyle w:val="ListNumber"/>
        <w:spacing w:after="50"/>
      </w:pPr>
      <w:r>
        <w:t>Start a full-stack web app in Google AI Studio Build mode. Use the default React client and Node server runtime; keep Gemini and third-party API keys server-side.</w:t>
      </w:r>
    </w:p>
    <w:p>
      <w:pPr>
        <w:pStyle w:val="ListNumber"/>
        <w:spacing w:after="50"/>
      </w:pPr>
      <w:r>
        <w:t>Prototype the complete user journey with synthetic/demo records first. Establish the visual system and core workflow before adding live integrations.</w:t>
      </w:r>
    </w:p>
    <w:p>
      <w:pPr>
        <w:pStyle w:val="ListNumber"/>
        <w:spacing w:after="50"/>
      </w:pPr>
      <w:r>
        <w:t>Provision Firebase Authentication and Firestore through AI Studio for the prototype; keep secrets in the server-side Secrets panel.</w:t>
      </w:r>
    </w:p>
    <w:p>
      <w:pPr>
        <w:pStyle w:val="ListNumber"/>
        <w:spacing w:after="50"/>
      </w:pPr>
      <w:r>
        <w:t>Sync to a private GitHub repository as soon as the first vertical slice works.</w:t>
      </w:r>
    </w:p>
    <w:p>
      <w:pPr>
        <w:pStyle w:val="ListNumber"/>
        <w:spacing w:after="50"/>
      </w:pPr>
      <w:r>
        <w:t>Use Claude Code for refactors, tests, security edge cases and accessibility; use Antigravity for cross-file implementation and deployment verification.</w:t>
      </w:r>
    </w:p>
    <w:p>
      <w:pPr>
        <w:pStyle w:val="ListNumber"/>
        <w:spacing w:after="50"/>
      </w:pPr>
      <w:r>
        <w:t>Promote dev -&gt; staging -&gt; production using separate projects, credentials, databases, billing budgets and environment variables.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EADB"/>
            <w:tcBorders>
              <w:left w:val="single" w:sz="14" w:color="B99845"/>
            </w:tcBorders>
          </w:tcPr>
          <w:p>
            <w:r>
              <w:rPr>
                <w:b/>
                <w:color w:val="7C642F"/>
                <w:sz w:val="18"/>
              </w:rPr>
              <w:t xml:space="preserve">HEALTH-DATA RULE: </w:t>
            </w:r>
            <w:r>
              <w:rPr>
                <w:sz w:val="18"/>
              </w:rPr>
              <w:t>Use synthetic data in AI Studio/free-tier development. Google currently states free-tier Gemini content may be used to improve its products, while paid-tier content is not. Before live health data, complete privacy/BAA/vendor review and move production processing to the approved paid/covered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11. Seed prompt for Google AI Studio</w:t>
      </w:r>
    </w:p>
    <w:p>
      <w:r>
        <w:rPr>
          <w:b/>
        </w:rPr>
        <w:t>Use this as the first build prompt:</w:t>
      </w:r>
    </w:p>
    <w:p>
      <w:r>
        <w:t>Build a full-stack responsive web application called ClaimCoda. It is a consumer health-insurance denial organization and appeal-document workspace, NOT a medical or legal advice service. Use React + TypeScript client, AI Studio Node server runtime, Firebase Authentication and Firestore. Use ONLY synthetic demo data. Visual design: premium matte near-black/deep-charcoal surfaces, restrained antique/dark-gold accents, ivory text and thin warm borders. Hero animation: subtle gold document threads from page edges flowing into one ordered path; keep center quiet and honor reduced motion. Demo: dashboard -&gt; create case -&gt; upload simulated denial -&gt; AI-extracted facts with source-page badges -&gt; user confirms -&gt; evidence checklist -&gt; editable appeal draft -&gt; export preview. Every extracted value has confidence and source. Never invent deadlines or medical facts. Build visual/synthetic flow first.</w:t>
      </w:r>
    </w:p>
    <w:p>
      <w:pPr>
        <w:pStyle w:val="Heading1"/>
      </w:pPr>
      <w:r>
        <w:t>Research sources</w:t>
      </w:r>
    </w:p>
    <w:p>
      <w:r>
        <w:rPr>
          <w:b/>
        </w:rPr>
        <w:t xml:space="preserve">Research snapshot: </w:t>
      </w:r>
      <w:r>
        <w:t>September 10, 2026. Re-check prices, vendor terms, statutes and product features before launch or contracting.</w:t>
      </w:r>
    </w:p>
    <w:p>
      <w:pPr>
        <w:pStyle w:val="ListBullet"/>
        <w:spacing w:after="32"/>
      </w:pPr>
      <w:r>
        <w:t xml:space="preserve">KFF - Claims Denials and Appeals in ACA Marketplace Plans in 2024 — </w:t>
      </w:r>
      <w:hyperlink r:id="rId11">
        <w:r>
          <w:rPr>
            <w:color w:val="7C642F"/>
            <w:u w:val="single"/>
          </w:rPr>
          <w:t>https://www.kff.org/patient-consumer-protections/claims-denials-and-appeals-in-aca-marketplace-plans-in-2024/</w:t>
        </w:r>
      </w:hyperlink>
    </w:p>
    <w:p>
      <w:pPr>
        <w:pStyle w:val="ListBullet"/>
        <w:spacing w:after="32"/>
      </w:pPr>
      <w:r>
        <w:t xml:space="preserve">CMS - Appealing Health Plan Decisions — </w:t>
      </w:r>
      <w:hyperlink r:id="rId12">
        <w:r>
          <w:rPr>
            <w:color w:val="7C642F"/>
            <w:u w:val="single"/>
          </w:rPr>
          <w:t>https://www.cms.gov/cciio/resources/fact-sheets-and-faqs/indexappealinghealthplandecisions</w:t>
        </w:r>
      </w:hyperlink>
    </w:p>
    <w:p>
      <w:pPr>
        <w:pStyle w:val="ListBullet"/>
        <w:spacing w:after="32"/>
      </w:pPr>
      <w:r>
        <w:t xml:space="preserve">CMS - External Appeals — </w:t>
      </w:r>
      <w:hyperlink r:id="rId13">
        <w:r>
          <w:rPr>
            <w:color w:val="7C642F"/>
            <w:u w:val="single"/>
          </w:rPr>
          <w:t>https://www.cms.gov/marketplace/about/affordable-care-act/external-appeals</w:t>
        </w:r>
      </w:hyperlink>
    </w:p>
    <w:p>
      <w:pPr>
        <w:pStyle w:val="ListBullet"/>
        <w:spacing w:after="32"/>
      </w:pPr>
      <w:r>
        <w:t xml:space="preserve">HHS - Health apps, APIs and HIPAA — </w:t>
      </w:r>
      <w:hyperlink r:id="rId14">
        <w:r>
          <w:rPr>
            <w:color w:val="7C642F"/>
            <w:u w:val="single"/>
          </w:rPr>
          <w:t>https://www.hhs.gov/hipaa/for-professionals/privacy/guidance/access-right-health-apps-apis/index.html</w:t>
        </w:r>
      </w:hyperlink>
    </w:p>
    <w:p>
      <w:pPr>
        <w:pStyle w:val="ListBullet"/>
        <w:spacing w:after="32"/>
      </w:pPr>
      <w:r>
        <w:t xml:space="preserve">FTC - Health Breach Notification Rule — </w:t>
      </w:r>
      <w:hyperlink r:id="rId15">
        <w:r>
          <w:rPr>
            <w:color w:val="7C642F"/>
            <w:u w:val="single"/>
          </w:rPr>
          <w:t>https://www.ftc.gov/legal-library/browse/rules/health-breach-notification-rule</w:t>
        </w:r>
      </w:hyperlink>
    </w:p>
    <w:p>
      <w:pPr>
        <w:pStyle w:val="ListBullet"/>
        <w:spacing w:after="32"/>
      </w:pPr>
      <w:r>
        <w:t xml:space="preserve">FDA - Clinical Decision Support Software — </w:t>
      </w:r>
      <w:hyperlink r:id="rId16">
        <w:r>
          <w:rPr>
            <w:color w:val="7C642F"/>
            <w:u w:val="single"/>
          </w:rPr>
          <w:t>https://www.fda.gov/regulatory-information/search-fda-guidance-documents/clinical-decision-support-software</w:t>
        </w:r>
      </w:hyperlink>
    </w:p>
    <w:p>
      <w:pPr>
        <w:pStyle w:val="ListBullet"/>
        <w:spacing w:after="32"/>
      </w:pPr>
      <w:r>
        <w:t xml:space="preserve">Washington My Health My Data Act — </w:t>
      </w:r>
      <w:hyperlink r:id="rId17">
        <w:r>
          <w:rPr>
            <w:color w:val="7C642F"/>
            <w:u w:val="single"/>
          </w:rPr>
          <w:t>https://app.leg.wa.gov/RCW/default.aspx?cite=19.373</w:t>
        </w:r>
      </w:hyperlink>
    </w:p>
    <w:p>
      <w:pPr>
        <w:pStyle w:val="ListBullet"/>
        <w:spacing w:after="32"/>
      </w:pPr>
      <w:r>
        <w:t xml:space="preserve">Nevada SB 370 consumer health data — </w:t>
      </w:r>
      <w:hyperlink r:id="rId18">
        <w:r>
          <w:rPr>
            <w:color w:val="7C642F"/>
            <w:u w:val="single"/>
          </w:rPr>
          <w:t>https://www.leg.state.nv.us/Statutes/82nd2023/Stats202329.html</w:t>
        </w:r>
      </w:hyperlink>
    </w:p>
    <w:p>
      <w:pPr>
        <w:pStyle w:val="ListBullet"/>
        <w:spacing w:after="32"/>
      </w:pPr>
      <w:r>
        <w:t xml:space="preserve">Google AI Studio - Build apps — </w:t>
      </w:r>
      <w:hyperlink r:id="rId19">
        <w:r>
          <w:rPr>
            <w:color w:val="7C642F"/>
            <w:u w:val="single"/>
          </w:rPr>
          <w:t>https://ai.google.dev/gemini-api/docs/aistudio-build-mode</w:t>
        </w:r>
      </w:hyperlink>
    </w:p>
    <w:p>
      <w:pPr>
        <w:pStyle w:val="ListBullet"/>
        <w:spacing w:after="32"/>
      </w:pPr>
      <w:r>
        <w:t xml:space="preserve">Google AI Studio - Full-stack apps — </w:t>
      </w:r>
      <w:hyperlink r:id="rId20">
        <w:r>
          <w:rPr>
            <w:color w:val="7C642F"/>
            <w:u w:val="single"/>
          </w:rPr>
          <w:t>https://ai.google.dev/gemini-api/docs/aistudio-fullstack</w:t>
        </w:r>
      </w:hyperlink>
    </w:p>
    <w:p>
      <w:pPr>
        <w:pStyle w:val="ListBullet"/>
        <w:spacing w:after="32"/>
      </w:pPr>
      <w:r>
        <w:t xml:space="preserve">Gemini Developer API pricing — </w:t>
      </w:r>
      <w:hyperlink r:id="rId21">
        <w:r>
          <w:rPr>
            <w:color w:val="7C642F"/>
            <w:u w:val="single"/>
          </w:rPr>
          <w:t>https://ai.google.dev/gemini-api/docs/pricing</w:t>
        </w:r>
      </w:hyperlink>
    </w:p>
    <w:p>
      <w:pPr>
        <w:pStyle w:val="ListBullet"/>
        <w:spacing w:after="32"/>
      </w:pPr>
      <w:r>
        <w:t xml:space="preserve">Google Cloud HIPAA compliance — </w:t>
      </w:r>
      <w:hyperlink r:id="rId22">
        <w:r>
          <w:rPr>
            <w:color w:val="7C642F"/>
            <w:u w:val="single"/>
          </w:rPr>
          <w:t>https://cloud.google.com/security/compliance/hipaa-compliance</w:t>
        </w:r>
      </w:hyperlink>
    </w:p>
    <w:p>
      <w:pPr>
        <w:pStyle w:val="ListBullet"/>
        <w:spacing w:after="32"/>
      </w:pPr>
      <w:r>
        <w:t xml:space="preserve">Google Cloud Identity Platform pricing — </w:t>
      </w:r>
      <w:hyperlink r:id="rId23">
        <w:r>
          <w:rPr>
            <w:color w:val="7C642F"/>
            <w:u w:val="single"/>
          </w:rPr>
          <w:t>https://cloud.google.com/identity-platform/pricing</w:t>
        </w:r>
      </w:hyperlink>
    </w:p>
    <w:p>
      <w:pPr>
        <w:pStyle w:val="ListBullet"/>
        <w:spacing w:after="32"/>
      </w:pPr>
      <w:r>
        <w:t xml:space="preserve">Clerk security &amp; compliance — </w:t>
      </w:r>
      <w:hyperlink r:id="rId24">
        <w:r>
          <w:rPr>
            <w:color w:val="7C642F"/>
            <w:u w:val="single"/>
          </w:rPr>
          <w:t>https://clerk.com/security</w:t>
        </w:r>
      </w:hyperlink>
    </w:p>
    <w:p>
      <w:pPr>
        <w:pStyle w:val="ListBullet"/>
        <w:spacing w:after="32"/>
      </w:pPr>
      <w:r>
        <w:t xml:space="preserve">Clerk pricing — </w:t>
      </w:r>
      <w:hyperlink r:id="rId25">
        <w:r>
          <w:rPr>
            <w:color w:val="7C642F"/>
            <w:u w:val="single"/>
          </w:rPr>
          <w:t>https://clerk.com/pricing</w:t>
        </w:r>
      </w:hyperlink>
    </w:p>
    <w:p>
      <w:pPr>
        <w:pStyle w:val="ListBullet"/>
        <w:spacing w:after="32"/>
      </w:pPr>
      <w:r>
        <w:t xml:space="preserve">Google Cloud Document AI pricing — </w:t>
      </w:r>
      <w:hyperlink r:id="rId26">
        <w:r>
          <w:rPr>
            <w:color w:val="7C642F"/>
            <w:u w:val="single"/>
          </w:rPr>
          <w:t>https://cloud.google.com/products/document-ai/pricing</w:t>
        </w:r>
      </w:hyperlink>
    </w:p>
    <w:p>
      <w:pPr>
        <w:pStyle w:val="ListBullet"/>
        <w:spacing w:after="32"/>
      </w:pPr>
      <w:r>
        <w:t xml:space="preserve">Stripe pricing — </w:t>
      </w:r>
      <w:hyperlink r:id="rId27">
        <w:r>
          <w:rPr>
            <w:color w:val="7C642F"/>
            <w:u w:val="single"/>
          </w:rPr>
          <w:t>https://stripe.com/pricing</w:t>
        </w:r>
      </w:hyperlink>
    </w:p>
    <w:p>
      <w:pPr>
        <w:pStyle w:val="ListBullet"/>
        <w:spacing w:after="32"/>
      </w:pPr>
      <w:r>
        <w:t xml:space="preserve">Twilio U.S. SMS pricing — </w:t>
      </w:r>
      <w:hyperlink r:id="rId28">
        <w:r>
          <w:rPr>
            <w:color w:val="7C642F"/>
            <w:u w:val="single"/>
          </w:rPr>
          <w:t>https://www.twilio.com/en-us/sms/pricing/us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06C64"/>
        <w:sz w:val="15"/>
      </w:rPr>
      <w:t>Planning document | Not legal, medical, or regulatory advice</w:t>
    </w:r>
    <w:r>
      <w:rPr>
        <w:color w:val="706C64"/>
        <w:sz w:val="15"/>
      </w:rPr>
      <w:t xml:space="preserve">  |  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jc w:val="right"/>
    </w:pPr>
    <w:r>
      <w:t>FOUNDER BUILD PACK  |  RESEARCH-BACKED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1110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64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10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10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Aptos" w:hAnsi="Aptos"/>
      <w:b/>
      <w:caps/>
      <w:color w:val="7C642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ff.org/patient-consumer-protections/claims-denials-and-appeals-in-aca-marketplace-plans-in-2024/" TargetMode="External"/><Relationship Id="rId12" Type="http://schemas.openxmlformats.org/officeDocument/2006/relationships/hyperlink" Target="https://www.cms.gov/cciio/resources/fact-sheets-and-faqs/indexappealinghealthplandecisions" TargetMode="External"/><Relationship Id="rId13" Type="http://schemas.openxmlformats.org/officeDocument/2006/relationships/hyperlink" Target="https://www.cms.gov/marketplace/about/affordable-care-act/external-appeals" TargetMode="External"/><Relationship Id="rId14" Type="http://schemas.openxmlformats.org/officeDocument/2006/relationships/hyperlink" Target="https://www.hhs.gov/hipaa/for-professionals/privacy/guidance/access-right-health-apps-apis/index.html" TargetMode="External"/><Relationship Id="rId15" Type="http://schemas.openxmlformats.org/officeDocument/2006/relationships/hyperlink" Target="https://www.ftc.gov/legal-library/browse/rules/health-breach-notification-rule" TargetMode="External"/><Relationship Id="rId16" Type="http://schemas.openxmlformats.org/officeDocument/2006/relationships/hyperlink" Target="https://www.fda.gov/regulatory-information/search-fda-guidance-documents/clinical-decision-support-software" TargetMode="External"/><Relationship Id="rId17" Type="http://schemas.openxmlformats.org/officeDocument/2006/relationships/hyperlink" Target="https://app.leg.wa.gov/RCW/default.aspx?cite=19.373" TargetMode="External"/><Relationship Id="rId18" Type="http://schemas.openxmlformats.org/officeDocument/2006/relationships/hyperlink" Target="https://www.leg.state.nv.us/Statutes/82nd2023/Stats202329.html" TargetMode="External"/><Relationship Id="rId19" Type="http://schemas.openxmlformats.org/officeDocument/2006/relationships/hyperlink" Target="https://ai.google.dev/gemini-api/docs/aistudio-build-mode" TargetMode="External"/><Relationship Id="rId20" Type="http://schemas.openxmlformats.org/officeDocument/2006/relationships/hyperlink" Target="https://ai.google.dev/gemini-api/docs/aistudio-fullstack" TargetMode="External"/><Relationship Id="rId21" Type="http://schemas.openxmlformats.org/officeDocument/2006/relationships/hyperlink" Target="https://ai.google.dev/gemini-api/docs/pricing" TargetMode="External"/><Relationship Id="rId22" Type="http://schemas.openxmlformats.org/officeDocument/2006/relationships/hyperlink" Target="https://cloud.google.com/security/compliance/hipaa-compliance" TargetMode="External"/><Relationship Id="rId23" Type="http://schemas.openxmlformats.org/officeDocument/2006/relationships/hyperlink" Target="https://cloud.google.com/identity-platform/pricing" TargetMode="External"/><Relationship Id="rId24" Type="http://schemas.openxmlformats.org/officeDocument/2006/relationships/hyperlink" Target="https://clerk.com/security" TargetMode="External"/><Relationship Id="rId25" Type="http://schemas.openxmlformats.org/officeDocument/2006/relationships/hyperlink" Target="https://clerk.com/pricing" TargetMode="External"/><Relationship Id="rId26" Type="http://schemas.openxmlformats.org/officeDocument/2006/relationships/hyperlink" Target="https://cloud.google.com/products/document-ai/pricing" TargetMode="External"/><Relationship Id="rId27" Type="http://schemas.openxmlformats.org/officeDocument/2006/relationships/hyperlink" Target="https://stripe.com/pricing" TargetMode="External"/><Relationship Id="rId28" Type="http://schemas.openxmlformats.org/officeDocument/2006/relationships/hyperlink" Target="https://www.twilio.com/en-us/sms/pricing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ClaimCoda PRD</dc:title>
  <dc:subject>Founder build pack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