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</w:pPr>
      <w:r>
        <w:rPr>
          <w:b/>
          <w:color w:val="7C642F"/>
          <w:sz w:val="24"/>
        </w:rPr>
        <w:t>CLAIMCODA</w:t>
      </w:r>
    </w:p>
    <w:p>
      <w:pPr>
        <w:pStyle w:val="Title"/>
      </w:pPr>
      <w:r>
        <w:t>Technical Requirements Document (TRD)</w:t>
      </w:r>
    </w:p>
    <w:p>
      <w:pPr>
        <w:spacing w:after="360"/>
      </w:pPr>
      <w:r>
        <w:rPr>
          <w:i/>
          <w:color w:val="706C64"/>
          <w:sz w:val="28"/>
        </w:rPr>
        <w:t>Turn a confusing health-insurance denial into a clear, evidence-backed next step.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6"/>
              </w:rPr>
              <w:t>BUILD APPROACH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6"/>
              </w:rPr>
              <w:t>DIRECTION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Workflow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6"/>
              </w:rPr>
              <w:t>Google AI Studio first -&gt; GitHub -&gt; Claude Code / Antigravity -&gt; production cloud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Visual family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6"/>
              </w:rPr>
              <w:t>Fair &amp; Square matte black/deep charcoal + restrained dark gold + ivory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Signature motion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6"/>
              </w:rPr>
              <w:t>Appeal Path: thin matte-gold document threads flow from scattered denial fragments at the edges into one calm ordered path; slow 10-12 second loop.</w:t>
            </w:r>
          </w:p>
        </w:tc>
      </w:tr>
      <w:tr>
        <w:tc>
          <w:tcPr>
            <w:tcW w:type="dxa" w:w="5141"/>
            <w:shd w:fill="1A1916"/>
            <w:vAlign w:val="top"/>
          </w:tcPr>
          <w:p>
            <w:pPr>
              <w:spacing w:after="20"/>
            </w:pPr>
            <w:r>
              <w:rPr>
                <w:b/>
                <w:color w:val="F3EFE6"/>
                <w:sz w:val="15"/>
              </w:rPr>
              <w:t>Version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6"/>
              </w:rPr>
              <w:t>v1.0 | September 10,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EADB"/>
            <w:tcBorders>
              <w:left w:val="single" w:sz="14" w:color="B99845"/>
            </w:tcBorders>
          </w:tcPr>
          <w:p>
            <w:r>
              <w:rPr>
                <w:b/>
                <w:color w:val="7C642F"/>
                <w:sz w:val="18"/>
              </w:rPr>
              <w:t xml:space="preserve">NAMING STATUS: </w:t>
            </w:r>
            <w:r>
              <w:rPr>
                <w:sz w:val="18"/>
              </w:rPr>
              <w:t>Working candidate only. Exact-match open-web collision research was performed on Sep 10, 2026, but this is not a trademark opinion, domain guarantee, or legal clearance.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Architecture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DECISION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V1 CHOICE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WHY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Client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React + TypeScript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AI Studio web default and easy GitHub/local portability.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Server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AI Studio Node runtime -&gt; Cloud Run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Secrets/API calls remain server-side.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Auth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Firebase Auth in prototype; Google Cloud Identity Platform for production health-data path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Minimize moving parts; health apps keep BAA/vendor path simple.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Firestore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Fast document model + real-time workflows.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Files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Cloud Storage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Private object storage and lifecycle rules.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AI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Gemini paid production API / approved Google Cloud AI configuration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Structured extraction/generation; paid tier has different data-use terms.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CI/CD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GitHub source of truth + Cloud Run deploy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Versioning, review and rollback.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Environments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Separate dev/stage/prod cloud projects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Data, credential and billing isolation.</w:t>
            </w:r>
          </w:p>
        </w:tc>
      </w:tr>
    </w:tbl>
    <w:p>
      <w:pPr>
        <w:pStyle w:val="Heading1"/>
      </w:pPr>
      <w:r>
        <w:t>AI Studio-first build workflow</w:t>
      </w:r>
    </w:p>
    <w:p>
      <w:pPr>
        <w:pStyle w:val="ListNumber"/>
        <w:spacing w:after="50"/>
      </w:pPr>
      <w:r>
        <w:t>Start a full-stack web app in Google AI Studio Build mode. Use the default React client and Node server runtime; keep Gemini and third-party API keys server-side.</w:t>
      </w:r>
    </w:p>
    <w:p>
      <w:pPr>
        <w:pStyle w:val="ListNumber"/>
        <w:spacing w:after="50"/>
      </w:pPr>
      <w:r>
        <w:t>Prototype the complete user journey with synthetic/demo records first. Establish the visual system and core workflow before adding live integrations.</w:t>
      </w:r>
    </w:p>
    <w:p>
      <w:pPr>
        <w:pStyle w:val="ListNumber"/>
        <w:spacing w:after="50"/>
      </w:pPr>
      <w:r>
        <w:t>Provision Firebase Authentication and Firestore through AI Studio for the prototype; keep secrets in the server-side Secrets panel.</w:t>
      </w:r>
    </w:p>
    <w:p>
      <w:pPr>
        <w:pStyle w:val="ListNumber"/>
        <w:spacing w:after="50"/>
      </w:pPr>
      <w:r>
        <w:t>Sync to a private GitHub repository as soon as the first vertical slice works.</w:t>
      </w:r>
    </w:p>
    <w:p>
      <w:pPr>
        <w:pStyle w:val="ListNumber"/>
        <w:spacing w:after="50"/>
      </w:pPr>
      <w:r>
        <w:t>Use Claude Code for refactors, tests, security edge cases and accessibility; use Antigravity for cross-file implementation and deployment verification.</w:t>
      </w:r>
    </w:p>
    <w:p>
      <w:pPr>
        <w:pStyle w:val="ListNumber"/>
        <w:spacing w:after="50"/>
      </w:pPr>
      <w:r>
        <w:t>Promote dev -&gt; staging -&gt; production using separate projects, credentials, databases, billing budgets and environment variables.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1EADB"/>
            <w:tcBorders>
              <w:left w:val="single" w:sz="14" w:color="B99845"/>
            </w:tcBorders>
          </w:tcPr>
          <w:p>
            <w:r>
              <w:rPr>
                <w:b/>
                <w:color w:val="7C642F"/>
                <w:sz w:val="18"/>
              </w:rPr>
              <w:t xml:space="preserve">HEALTH-DATA RULE: </w:t>
            </w:r>
            <w:r>
              <w:rPr>
                <w:sz w:val="18"/>
              </w:rPr>
              <w:t>Use synthetic data in AI Studio/free-tier development. Google currently states free-tier Gemini content may be used to improve its products, while paid-tier content is not. Before live health data, complete privacy/BAA/vendor review and move production processing to the approved paid/covered configuration.</w:t>
            </w:r>
          </w:p>
        </w:tc>
      </w:tr>
    </w:tbl>
    <w:p>
      <w:pPr>
        <w:spacing w:after="0"/>
      </w:pPr>
    </w:p>
    <w:p>
      <w:pPr>
        <w:pStyle w:val="Heading1"/>
      </w:pPr>
      <w:r>
        <w:t>Shared Fair &amp; Square visual system</w:t>
      </w:r>
    </w:p>
    <w:p>
      <w:r>
        <w:t>All three products should look like members of one premium product family, not copied skins. Preserve the matte dark-gold language established for Fair &amp; Square; change the motion concept and domain iconography 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TOKEN / ELEMENT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DIRECTION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Background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#0B0B0A matte near-black; avoid glossy blue/purple SaaS gradients.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Surface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#141310 / #1B1914 cards with restrained depth and warm 1px borders.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Primary gold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#B99845 antique/champagne gold; never mustard, orange-yellow, or brown.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Text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#F3EFE6 ivory primary; muted warm gray secondary; contrast is a release gate.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CTA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Restrained gold fill/edge, premium shimmer on hover, no neon.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Motion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 Path: thin matte-gold document threads flow from scattered denial fragments at the edges into one calm ordered path; slow 10-12 second loop.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Hero center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Keep center quiet for copy; motion remains at edges/corners.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Honor prefers-reduced-motion with static background fallback.</w:t>
            </w:r>
          </w:p>
        </w:tc>
      </w:tr>
    </w:tbl>
    <w:p>
      <w:pPr>
        <w:pStyle w:val="Heading1"/>
      </w:pPr>
      <w:r>
        <w:t>2. Logical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LAYER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COMPONENTS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RESPONSIBILITY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Web client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Case dashboard, source viewer, appeal editor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No service secrets; minimal local cache.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API/orchestrator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Node/Cloud Run + schema validators + RBAC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Authoritative case ownership and AI/tool calls.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Identity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Firebase/Identity Platform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Identity only; no PHI in auth metadata.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Firestore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Cases, confirmed facts, evidence, rules, audit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System of record for workflow.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Original docs + generated packet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Private, signed access.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 pipeline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PDF text + Document AI OCR fallback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Page-level text/source hashes.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AI pipeline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Extract -&gt; validate -&gt; confirm -&gt; draft -&gt; post-check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Never use unconfirmed material facts for final drafting.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Rules registry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Reviewed CMS/state links/effective dates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No model-invented legal deadlines.</w:t>
            </w:r>
          </w:p>
        </w:tc>
      </w:tr>
    </w:tbl>
    <w:p>
      <w:pPr>
        <w:pStyle w:val="Heading1"/>
      </w:pPr>
      <w:r>
        <w:t>3.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ENTITY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KEY FIELDS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users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uid, consent_version, created_at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cases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case_id, owner_uid, status, plan_context, denial_category, verified_deadline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documents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document_id, case_id, type, storage_uri, sha256, pages, ocr_status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extracted_facts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field, value, confidence, source doc/page/span, confirmation_state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evidence_items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label, status, document link, user note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appeal_drafts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version, content, fact_ids_used, model_id, prompt_version, user_approved_at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rules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jurisdiction, scope, topic, effective dates, official_url, reviewed_at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audit_events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actor, action, object, model/tool metadata, timestamp</w:t>
            </w:r>
          </w:p>
        </w:tc>
      </w:tr>
    </w:tbl>
    <w:p>
      <w:pPr>
        <w:pStyle w:val="Heading1"/>
      </w:pPr>
      <w:r>
        <w:t>4. API / integration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ROUTE / INTEGRATION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PURPOSE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CONTROL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POST /api/cases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Create case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Authenticated owner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POST /api/cases/:id/documents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Upload/finalize file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MIME/size/malware/private bucket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POST /api/documents/:id/extract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OCR + structured extraction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Idempotent + schema validation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PATCH /api/facts/:id/confirm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Confirm/correct fact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Audit original and correction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POST /api/cases/:id/appeal-draft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Generate from confirmed facts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Scope/safety gate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POST /api/cases/:id/export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Generate packet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Draft watermark until approved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GET /api/cases/:id/rules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Applicable reviewed rule sources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No generated rules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DELETE /api/cases/:id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Deletion workflow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Re-auth + retention policy</w:t>
            </w:r>
          </w:p>
        </w:tc>
      </w:tr>
    </w:tbl>
    <w:p>
      <w:pPr>
        <w:pStyle w:val="Heading1"/>
      </w:pPr>
      <w:r>
        <w:t>5. AI + deterministic control pipeline</w:t>
      </w:r>
    </w:p>
    <w:p>
      <w:pPr>
        <w:pStyle w:val="ListNumber"/>
        <w:spacing w:after="50"/>
      </w:pPr>
      <w:r>
        <w:t>Normalize file; prefer embedded PDF text, OCR only low-quality pages.</w:t>
      </w:r>
    </w:p>
    <w:p>
      <w:pPr>
        <w:pStyle w:val="ListNumber"/>
        <w:spacing w:after="50"/>
      </w:pPr>
      <w:r>
        <w:t>Split/page-hash source; extract strict JSON with confidence + source span.</w:t>
      </w:r>
    </w:p>
    <w:p>
      <w:pPr>
        <w:pStyle w:val="ListNumber"/>
        <w:spacing w:after="50"/>
      </w:pPr>
      <w:r>
        <w:t>Validator rejects malformed/ungrounded fields; store as UNCONFIRMED.</w:t>
      </w:r>
    </w:p>
    <w:p>
      <w:pPr>
        <w:pStyle w:val="ListNumber"/>
        <w:spacing w:after="50"/>
      </w:pPr>
      <w:r>
        <w:t>User confirms material facts.</w:t>
      </w:r>
    </w:p>
    <w:p>
      <w:pPr>
        <w:pStyle w:val="ListNumber"/>
        <w:spacing w:after="50"/>
      </w:pPr>
      <w:r>
        <w:t>Draft generator receives confirmed facts + user narrative + evidence index only.</w:t>
      </w:r>
    </w:p>
    <w:p>
      <w:pPr>
        <w:pStyle w:val="ListNumber"/>
        <w:spacing w:after="50"/>
      </w:pPr>
      <w:r>
        <w:t>Post-check verifies names/dates/amounts/codes in draft exist in confirmed sources.</w:t>
      </w:r>
    </w:p>
    <w:p>
      <w:pPr>
        <w:pStyle w:val="ListNumber"/>
        <w:spacing w:after="50"/>
      </w:pPr>
      <w:r>
        <w:t>Store model/prompt version, tokens, latency and validation outcome without PHI in general logs.</w:t>
      </w:r>
    </w:p>
    <w:p>
      <w:pPr>
        <w:pStyle w:val="Heading1"/>
      </w:pPr>
      <w:r>
        <w:t>6. Security / privacy engineering</w:t>
      </w:r>
    </w:p>
    <w:p>
      <w:pPr>
        <w:pStyle w:val="ListBullet"/>
        <w:spacing w:after="44"/>
      </w:pPr>
      <w:r>
        <w:t>Separate dev/stage/prod projects and data.</w:t>
      </w:r>
    </w:p>
    <w:p>
      <w:pPr>
        <w:pStyle w:val="ListBullet"/>
        <w:spacing w:after="44"/>
      </w:pPr>
      <w:r>
        <w:t>Server-authoritative tenant/household/workspace authorization on every route; client IDs are never trusted by themselves.</w:t>
      </w:r>
    </w:p>
    <w:p>
      <w:pPr>
        <w:pStyle w:val="ListBullet"/>
        <w:spacing w:after="44"/>
      </w:pPr>
      <w:r>
        <w:t>Secrets/tokens server-side only; no secrets in GitHub, browser storage or client-readable Firestore docs.</w:t>
      </w:r>
    </w:p>
    <w:p>
      <w:pPr>
        <w:pStyle w:val="ListBullet"/>
        <w:spacing w:after="44"/>
      </w:pPr>
      <w:r>
        <w:t>Model inputs are untrusted content; protect against prompt injection and schema-bypass attempts.</w:t>
      </w:r>
    </w:p>
    <w:p>
      <w:pPr>
        <w:pStyle w:val="ListBullet"/>
        <w:spacing w:after="44"/>
      </w:pPr>
      <w:r>
        <w:t>Audit sensitive state transitions and tool executions.</w:t>
      </w:r>
    </w:p>
    <w:p>
      <w:pPr>
        <w:pStyle w:val="ListBullet"/>
        <w:spacing w:after="44"/>
      </w:pPr>
      <w:r>
        <w:t>Deletion/export, retention, backup/restore and incident response are tested before launch.</w:t>
      </w:r>
    </w:p>
    <w:p>
      <w:pPr>
        <w:pStyle w:val="ListBullet"/>
        <w:spacing w:after="44"/>
      </w:pPr>
      <w:r>
        <w:t>Treat all health/care content as highly sensitive even if HIPAA does not apply.</w:t>
      </w:r>
    </w:p>
    <w:p>
      <w:pPr>
        <w:pStyle w:val="ListBullet"/>
        <w:spacing w:after="44"/>
      </w:pPr>
      <w:r>
        <w:t>No PHI/health content in URLs, analytics, crash logs, identity metadata, email/SMS or GitHub issues.</w:t>
      </w:r>
    </w:p>
    <w:p>
      <w:pPr>
        <w:pStyle w:val="ListBullet"/>
        <w:spacing w:after="44"/>
      </w:pPr>
      <w:r>
        <w:t>Accept/confirm BAA and covered-service/vendor posture before PHI where BA status applies.</w:t>
      </w:r>
    </w:p>
    <w:p>
      <w:pPr>
        <w:pStyle w:val="ListBullet"/>
        <w:spacing w:after="44"/>
      </w:pPr>
      <w:r>
        <w:t>Disable or contractually control third-party session replay/support tools for live sensitive data.</w:t>
      </w:r>
    </w:p>
    <w:p>
      <w:pPr>
        <w:pStyle w:val="Heading1"/>
      </w:pPr>
      <w:r>
        <w:t>7. Services and accounts to sign up for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SERVICE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WHEN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SIGN-UP / CONFIGURATION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Google AI Studio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Day 1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Create full-stack app; synthetic workflow first.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Google Cloud / Firebase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Week 1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Billing, IAM, Firestore, Storage, Cloud Run, budgets.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GitHub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Week 1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Private repo, secret scanning, branch protection.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Gemini API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Week 1+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Paid production tier; meter usage and cap budget.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Identity Platform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Before live health data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Production auth under approved Google Cloud configuration.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Document AI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When OCR needed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Enable OCR processor; least-privilege service account.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Stripe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Paid pilot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Hosted checkout/webhooks.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Transactional email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Pilot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Generic notifications only.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Health/privacy counsel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Before real health data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HIPAA relationship, FTC/state laws, product claims, Terms/Privacy.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Cyber/E&amp;O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Before paid live launch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Broker quote aligned to health-data/application exposure.</w:t>
            </w:r>
          </w:p>
        </w:tc>
      </w:tr>
    </w:tbl>
    <w:p>
      <w:pPr>
        <w:pStyle w:val="Heading1"/>
      </w:pPr>
      <w:r>
        <w:t>8. Cost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SCALE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MONTHLY TECH ENVELOPE</w:t>
            </w:r>
          </w:p>
        </w:tc>
        <w:tc>
          <w:tcPr>
            <w:tcW w:type="dxa" w:w="3427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ASSUMPTIONS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Prototype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$0-$50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Synthetic data, low cloud usage.</w:t>
            </w:r>
          </w:p>
        </w:tc>
      </w:tr>
      <w:tr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Private pilot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$50-$300</w:t>
            </w:r>
          </w:p>
        </w:tc>
        <w:tc>
          <w:tcPr>
            <w:tcW w:type="dxa" w:w="3427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Paid AI, OCR/storage, email, prod project.</w:t>
            </w:r>
          </w:p>
        </w:tc>
      </w:tr>
      <w:tr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~1,000 active cases/mo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$200-$1,000+</w:t>
            </w:r>
          </w:p>
        </w:tc>
        <w:tc>
          <w:tcPr>
            <w:tcW w:type="dxa" w:w="3427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Pages/case + model choice + support/notifications dominate.</w:t>
            </w:r>
          </w:p>
        </w:tc>
      </w:tr>
    </w:tbl>
    <w:p>
      <w:r>
        <w:t>Document AI currently lists Enterprise Document OCR at $0 for the first 1,000 count and $1.50 per 1,000 thereafter in the published consumption schedule. Gemini rates vary by model/tier and change over time. Use telemetry before setting retail pricing.</w:t>
      </w:r>
    </w:p>
    <w:p>
      <w:pPr>
        <w:pStyle w:val="Heading1"/>
      </w:pPr>
      <w:r>
        <w:t>9. Test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TEST FAMILY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REQUIRED CASES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Unit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Schema/date/amount normalization, rule applicability, tenant guards, idempotency.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Golden documents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50+ denial layouts/categories; fact-level precision/recall.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Hallucination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Missing deadline, conflicting amounts, malicious text in PDF.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Security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Cross-tenant IDOR, signed URLs, upload bypass, secret scan.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Accessibility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Keyboard, screen reader labels, contrast, reduced motion.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Ops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OCR/model outage, partial export, backup restore, retry.</w:t>
            </w:r>
          </w:p>
        </w:tc>
      </w:tr>
    </w:tbl>
    <w:p>
      <w:pPr>
        <w:pStyle w:val="Heading1"/>
      </w:pPr>
      <w:r>
        <w:t>10. Eight-week build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WEEK</w:t>
            </w:r>
          </w:p>
        </w:tc>
        <w:tc>
          <w:tcPr>
            <w:tcW w:type="dxa" w:w="5141"/>
            <w:shd w:fill="1A1916"/>
            <w:vAlign w:val="center"/>
          </w:tcPr>
          <w:p>
            <w:r>
              <w:rPr>
                <w:b/>
                <w:color w:val="F3EFE6"/>
                <w:sz w:val="14"/>
              </w:rPr>
              <w:t>DELIVERABLE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1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Theme + auth + case shell + synthetic source viewer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2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Upload + source-page extraction schema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PDF/OCR pipeline + validator + confirmation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4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Appeal draft + evidence + export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Rules registry + reminders + audit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6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Security/deletion/evals + staging</w:t>
            </w:r>
          </w:p>
        </w:tc>
      </w:tr>
      <w:tr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7</w:t>
            </w:r>
          </w:p>
        </w:tc>
        <w:tc>
          <w:tcPr>
            <w:tcW w:type="dxa" w:w="5141"/>
            <w:shd w:fill="FFFFFF"/>
            <w:vAlign w:val="top"/>
          </w:tcPr>
          <w:p>
            <w:pPr>
              <w:spacing w:after="20"/>
            </w:pPr>
            <w:r>
              <w:rPr>
                <w:sz w:val="14"/>
              </w:rPr>
              <w:t>Counsel/security findings + checkout</w:t>
            </w:r>
          </w:p>
        </w:tc>
      </w:tr>
      <w:tr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type="dxa" w:w="5141"/>
            <w:shd w:fill="F7F4EE"/>
            <w:vAlign w:val="top"/>
          </w:tcPr>
          <w:p>
            <w:pPr>
              <w:spacing w:after="20"/>
            </w:pPr>
            <w:r>
              <w:rPr>
                <w:sz w:val="14"/>
              </w:rPr>
              <w:t>Small paid pilot + reliability fixes</w:t>
            </w:r>
          </w:p>
        </w:tc>
      </w:tr>
    </w:tbl>
    <w:p>
      <w:pPr>
        <w:pStyle w:val="Heading1"/>
      </w:pPr>
      <w:r>
        <w:t>11. Production readiness checklist</w:t>
      </w:r>
    </w:p>
    <w:p>
      <w:pPr>
        <w:pStyle w:val="ListBullet"/>
        <w:spacing w:after="44"/>
      </w:pPr>
      <w:r>
        <w:t>Environment isolation and budget alerts enabled.</w:t>
      </w:r>
    </w:p>
    <w:p>
      <w:pPr>
        <w:pStyle w:val="ListBullet"/>
        <w:spacing w:after="44"/>
      </w:pPr>
      <w:r>
        <w:t>Secrets rotation and least-privilege service identities tested.</w:t>
      </w:r>
    </w:p>
    <w:p>
      <w:pPr>
        <w:pStyle w:val="ListBullet"/>
        <w:spacing w:after="44"/>
      </w:pPr>
      <w:r>
        <w:t>Model/prompt versioning and rollback implemented.</w:t>
      </w:r>
    </w:p>
    <w:p>
      <w:pPr>
        <w:pStyle w:val="ListBullet"/>
        <w:spacing w:after="44"/>
      </w:pPr>
      <w:r>
        <w:t>Tenant/household/workspace isolation tested.</w:t>
      </w:r>
    </w:p>
    <w:p>
      <w:pPr>
        <w:pStyle w:val="ListBullet"/>
        <w:spacing w:after="44"/>
      </w:pPr>
      <w:r>
        <w:t>Data deletion/export/retention and backup restore tested.</w:t>
      </w:r>
    </w:p>
    <w:p>
      <w:pPr>
        <w:pStyle w:val="ListBullet"/>
        <w:spacing w:after="44"/>
      </w:pPr>
      <w:r>
        <w:t>Rate limits, abuse controls, errors, queue depth and model/tool failures observable.</w:t>
      </w:r>
    </w:p>
    <w:p>
      <w:pPr>
        <w:pStyle w:val="ListBullet"/>
        <w:spacing w:after="44"/>
      </w:pPr>
      <w:r>
        <w:t>No live PHI in AI Studio/free-tier datasets or GitHub.</w:t>
      </w:r>
    </w:p>
    <w:p>
      <w:pPr>
        <w:pStyle w:val="ListBullet"/>
        <w:spacing w:after="44"/>
      </w:pPr>
      <w:r>
        <w:t>User confirmation gate enforced server-side before material drafting/export.</w:t>
      </w:r>
    </w:p>
    <w:p>
      <w:pPr>
        <w:pStyle w:val="ListBullet"/>
        <w:spacing w:after="44"/>
      </w:pPr>
      <w:r>
        <w:t>Every material extracted fact has visible source provenance.</w:t>
      </w:r>
    </w:p>
    <w:p>
      <w:pPr>
        <w:pStyle w:val="ListBullet"/>
        <w:spacing w:after="44"/>
      </w:pPr>
      <w:r>
        <w:t>BAA/privacy/legal scope decision documented.</w:t>
      </w:r>
    </w:p>
    <w:p>
      <w:pPr>
        <w:pStyle w:val="Heading1"/>
      </w:pPr>
      <w:r>
        <w:t>Research sources</w:t>
      </w:r>
    </w:p>
    <w:p>
      <w:r>
        <w:rPr>
          <w:b/>
        </w:rPr>
        <w:t xml:space="preserve">Research snapshot: </w:t>
      </w:r>
      <w:r>
        <w:t>September 10, 2026. Re-check prices, vendor terms, statutes and product features before launch or contracting.</w:t>
      </w:r>
    </w:p>
    <w:p>
      <w:pPr>
        <w:pStyle w:val="ListBullet"/>
        <w:spacing w:after="32"/>
      </w:pPr>
      <w:r>
        <w:t xml:space="preserve">KFF - Claims Denials and Appeals in ACA Marketplace Plans in 2024 — </w:t>
      </w:r>
      <w:hyperlink r:id="rId11">
        <w:r>
          <w:rPr>
            <w:color w:val="7C642F"/>
            <w:u w:val="single"/>
          </w:rPr>
          <w:t>https://www.kff.org/patient-consumer-protections/claims-denials-and-appeals-in-aca-marketplace-plans-in-2024/</w:t>
        </w:r>
      </w:hyperlink>
    </w:p>
    <w:p>
      <w:pPr>
        <w:pStyle w:val="ListBullet"/>
        <w:spacing w:after="32"/>
      </w:pPr>
      <w:r>
        <w:t xml:space="preserve">CMS - Appealing Health Plan Decisions — </w:t>
      </w:r>
      <w:hyperlink r:id="rId12">
        <w:r>
          <w:rPr>
            <w:color w:val="7C642F"/>
            <w:u w:val="single"/>
          </w:rPr>
          <w:t>https://www.cms.gov/cciio/resources/fact-sheets-and-faqs/indexappealinghealthplandecisions</w:t>
        </w:r>
      </w:hyperlink>
    </w:p>
    <w:p>
      <w:pPr>
        <w:pStyle w:val="ListBullet"/>
        <w:spacing w:after="32"/>
      </w:pPr>
      <w:r>
        <w:t xml:space="preserve">CMS - External Appeals — </w:t>
      </w:r>
      <w:hyperlink r:id="rId13">
        <w:r>
          <w:rPr>
            <w:color w:val="7C642F"/>
            <w:u w:val="single"/>
          </w:rPr>
          <w:t>https://www.cms.gov/marketplace/about/affordable-care-act/external-appeals</w:t>
        </w:r>
      </w:hyperlink>
    </w:p>
    <w:p>
      <w:pPr>
        <w:pStyle w:val="ListBullet"/>
        <w:spacing w:after="32"/>
      </w:pPr>
      <w:r>
        <w:t xml:space="preserve">HHS - Health apps, APIs and HIPAA — </w:t>
      </w:r>
      <w:hyperlink r:id="rId14">
        <w:r>
          <w:rPr>
            <w:color w:val="7C642F"/>
            <w:u w:val="single"/>
          </w:rPr>
          <w:t>https://www.hhs.gov/hipaa/for-professionals/privacy/guidance/access-right-health-apps-apis/index.html</w:t>
        </w:r>
      </w:hyperlink>
    </w:p>
    <w:p>
      <w:pPr>
        <w:pStyle w:val="ListBullet"/>
        <w:spacing w:after="32"/>
      </w:pPr>
      <w:r>
        <w:t xml:space="preserve">FTC - Health Breach Notification Rule — </w:t>
      </w:r>
      <w:hyperlink r:id="rId15">
        <w:r>
          <w:rPr>
            <w:color w:val="7C642F"/>
            <w:u w:val="single"/>
          </w:rPr>
          <w:t>https://www.ftc.gov/legal-library/browse/rules/health-breach-notification-rule</w:t>
        </w:r>
      </w:hyperlink>
    </w:p>
    <w:p>
      <w:pPr>
        <w:pStyle w:val="ListBullet"/>
        <w:spacing w:after="32"/>
      </w:pPr>
      <w:r>
        <w:t xml:space="preserve">FDA - Clinical Decision Support Software — </w:t>
      </w:r>
      <w:hyperlink r:id="rId16">
        <w:r>
          <w:rPr>
            <w:color w:val="7C642F"/>
            <w:u w:val="single"/>
          </w:rPr>
          <w:t>https://www.fda.gov/regulatory-information/search-fda-guidance-documents/clinical-decision-support-software</w:t>
        </w:r>
      </w:hyperlink>
    </w:p>
    <w:p>
      <w:pPr>
        <w:pStyle w:val="ListBullet"/>
        <w:spacing w:after="32"/>
      </w:pPr>
      <w:r>
        <w:t xml:space="preserve">Washington My Health My Data Act — </w:t>
      </w:r>
      <w:hyperlink r:id="rId17">
        <w:r>
          <w:rPr>
            <w:color w:val="7C642F"/>
            <w:u w:val="single"/>
          </w:rPr>
          <w:t>https://app.leg.wa.gov/RCW/default.aspx?cite=19.373</w:t>
        </w:r>
      </w:hyperlink>
    </w:p>
    <w:p>
      <w:pPr>
        <w:pStyle w:val="ListBullet"/>
        <w:spacing w:after="32"/>
      </w:pPr>
      <w:r>
        <w:t xml:space="preserve">Nevada SB 370 consumer health data — </w:t>
      </w:r>
      <w:hyperlink r:id="rId18">
        <w:r>
          <w:rPr>
            <w:color w:val="7C642F"/>
            <w:u w:val="single"/>
          </w:rPr>
          <w:t>https://www.leg.state.nv.us/Statutes/82nd2023/Stats202329.html</w:t>
        </w:r>
      </w:hyperlink>
    </w:p>
    <w:p>
      <w:pPr>
        <w:pStyle w:val="ListBullet"/>
        <w:spacing w:after="32"/>
      </w:pPr>
      <w:r>
        <w:t xml:space="preserve">Google AI Studio - Build apps — </w:t>
      </w:r>
      <w:hyperlink r:id="rId19">
        <w:r>
          <w:rPr>
            <w:color w:val="7C642F"/>
            <w:u w:val="single"/>
          </w:rPr>
          <w:t>https://ai.google.dev/gemini-api/docs/aistudio-build-mode</w:t>
        </w:r>
      </w:hyperlink>
    </w:p>
    <w:p>
      <w:pPr>
        <w:pStyle w:val="ListBullet"/>
        <w:spacing w:after="32"/>
      </w:pPr>
      <w:r>
        <w:t xml:space="preserve">Google AI Studio - Full-stack apps — </w:t>
      </w:r>
      <w:hyperlink r:id="rId20">
        <w:r>
          <w:rPr>
            <w:color w:val="7C642F"/>
            <w:u w:val="single"/>
          </w:rPr>
          <w:t>https://ai.google.dev/gemini-api/docs/aistudio-fullstack</w:t>
        </w:r>
      </w:hyperlink>
    </w:p>
    <w:p>
      <w:pPr>
        <w:pStyle w:val="ListBullet"/>
        <w:spacing w:after="32"/>
      </w:pPr>
      <w:r>
        <w:t xml:space="preserve">Gemini Developer API pricing — </w:t>
      </w:r>
      <w:hyperlink r:id="rId21">
        <w:r>
          <w:rPr>
            <w:color w:val="7C642F"/>
            <w:u w:val="single"/>
          </w:rPr>
          <w:t>https://ai.google.dev/gemini-api/docs/pricing</w:t>
        </w:r>
      </w:hyperlink>
    </w:p>
    <w:p>
      <w:pPr>
        <w:pStyle w:val="ListBullet"/>
        <w:spacing w:after="32"/>
      </w:pPr>
      <w:r>
        <w:t xml:space="preserve">Google Cloud HIPAA compliance — </w:t>
      </w:r>
      <w:hyperlink r:id="rId22">
        <w:r>
          <w:rPr>
            <w:color w:val="7C642F"/>
            <w:u w:val="single"/>
          </w:rPr>
          <w:t>https://cloud.google.com/security/compliance/hipaa-compliance</w:t>
        </w:r>
      </w:hyperlink>
    </w:p>
    <w:p>
      <w:pPr>
        <w:pStyle w:val="ListBullet"/>
        <w:spacing w:after="32"/>
      </w:pPr>
      <w:r>
        <w:t xml:space="preserve">Google Cloud Identity Platform pricing — </w:t>
      </w:r>
      <w:hyperlink r:id="rId23">
        <w:r>
          <w:rPr>
            <w:color w:val="7C642F"/>
            <w:u w:val="single"/>
          </w:rPr>
          <w:t>https://cloud.google.com/identity-platform/pricing</w:t>
        </w:r>
      </w:hyperlink>
    </w:p>
    <w:p>
      <w:pPr>
        <w:pStyle w:val="ListBullet"/>
        <w:spacing w:after="32"/>
      </w:pPr>
      <w:r>
        <w:t xml:space="preserve">Clerk security &amp; compliance — </w:t>
      </w:r>
      <w:hyperlink r:id="rId24">
        <w:r>
          <w:rPr>
            <w:color w:val="7C642F"/>
            <w:u w:val="single"/>
          </w:rPr>
          <w:t>https://clerk.com/security</w:t>
        </w:r>
      </w:hyperlink>
    </w:p>
    <w:p>
      <w:pPr>
        <w:pStyle w:val="ListBullet"/>
        <w:spacing w:after="32"/>
      </w:pPr>
      <w:r>
        <w:t xml:space="preserve">Clerk pricing — </w:t>
      </w:r>
      <w:hyperlink r:id="rId25">
        <w:r>
          <w:rPr>
            <w:color w:val="7C642F"/>
            <w:u w:val="single"/>
          </w:rPr>
          <w:t>https://clerk.com/pricing</w:t>
        </w:r>
      </w:hyperlink>
    </w:p>
    <w:p>
      <w:pPr>
        <w:pStyle w:val="ListBullet"/>
        <w:spacing w:after="32"/>
      </w:pPr>
      <w:r>
        <w:t xml:space="preserve">Google Cloud Document AI pricing — </w:t>
      </w:r>
      <w:hyperlink r:id="rId26">
        <w:r>
          <w:rPr>
            <w:color w:val="7C642F"/>
            <w:u w:val="single"/>
          </w:rPr>
          <w:t>https://cloud.google.com/products/document-ai/pricing</w:t>
        </w:r>
      </w:hyperlink>
    </w:p>
    <w:p>
      <w:pPr>
        <w:pStyle w:val="ListBullet"/>
        <w:spacing w:after="32"/>
      </w:pPr>
      <w:r>
        <w:t xml:space="preserve">Stripe pricing — </w:t>
      </w:r>
      <w:hyperlink r:id="rId27">
        <w:r>
          <w:rPr>
            <w:color w:val="7C642F"/>
            <w:u w:val="single"/>
          </w:rPr>
          <w:t>https://stripe.com/pricing</w:t>
        </w:r>
      </w:hyperlink>
    </w:p>
    <w:p>
      <w:pPr>
        <w:pStyle w:val="ListBullet"/>
        <w:spacing w:after="32"/>
      </w:pPr>
      <w:r>
        <w:t xml:space="preserve">Twilio U.S. SMS pricing — </w:t>
      </w:r>
      <w:hyperlink r:id="rId28">
        <w:r>
          <w:rPr>
            <w:color w:val="7C642F"/>
            <w:u w:val="single"/>
          </w:rPr>
          <w:t>https://www.twilio.com/en-us/sms/pricing/us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06C64"/>
        <w:sz w:val="15"/>
      </w:rPr>
      <w:t>Planning document | Not legal, medical, or regulatory advice</w:t>
    </w:r>
    <w:r>
      <w:rPr>
        <w:color w:val="706C64"/>
        <w:sz w:val="15"/>
      </w:rPr>
      <w:t xml:space="preserve">  |  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Kicker"/>
      <w:jc w:val="right"/>
    </w:pPr>
    <w:r>
      <w:t>FOUNDER BUILD PACK  |  RESEARCH-BACKED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color w:val="11110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7C64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1110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0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rPr>
      <w:rFonts w:ascii="Aptos" w:hAnsi="Aptos"/>
      <w:b/>
      <w:caps/>
      <w:color w:val="7C642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ff.org/patient-consumer-protections/claims-denials-and-appeals-in-aca-marketplace-plans-in-2024/" TargetMode="External"/><Relationship Id="rId12" Type="http://schemas.openxmlformats.org/officeDocument/2006/relationships/hyperlink" Target="https://www.cms.gov/cciio/resources/fact-sheets-and-faqs/indexappealinghealthplandecisions" TargetMode="External"/><Relationship Id="rId13" Type="http://schemas.openxmlformats.org/officeDocument/2006/relationships/hyperlink" Target="https://www.cms.gov/marketplace/about/affordable-care-act/external-appeals" TargetMode="External"/><Relationship Id="rId14" Type="http://schemas.openxmlformats.org/officeDocument/2006/relationships/hyperlink" Target="https://www.hhs.gov/hipaa/for-professionals/privacy/guidance/access-right-health-apps-apis/index.html" TargetMode="External"/><Relationship Id="rId15" Type="http://schemas.openxmlformats.org/officeDocument/2006/relationships/hyperlink" Target="https://www.ftc.gov/legal-library/browse/rules/health-breach-notification-rule" TargetMode="External"/><Relationship Id="rId16" Type="http://schemas.openxmlformats.org/officeDocument/2006/relationships/hyperlink" Target="https://www.fda.gov/regulatory-information/search-fda-guidance-documents/clinical-decision-support-software" TargetMode="External"/><Relationship Id="rId17" Type="http://schemas.openxmlformats.org/officeDocument/2006/relationships/hyperlink" Target="https://app.leg.wa.gov/RCW/default.aspx?cite=19.373" TargetMode="External"/><Relationship Id="rId18" Type="http://schemas.openxmlformats.org/officeDocument/2006/relationships/hyperlink" Target="https://www.leg.state.nv.us/Statutes/82nd2023/Stats202329.html" TargetMode="External"/><Relationship Id="rId19" Type="http://schemas.openxmlformats.org/officeDocument/2006/relationships/hyperlink" Target="https://ai.google.dev/gemini-api/docs/aistudio-build-mode" TargetMode="External"/><Relationship Id="rId20" Type="http://schemas.openxmlformats.org/officeDocument/2006/relationships/hyperlink" Target="https://ai.google.dev/gemini-api/docs/aistudio-fullstack" TargetMode="External"/><Relationship Id="rId21" Type="http://schemas.openxmlformats.org/officeDocument/2006/relationships/hyperlink" Target="https://ai.google.dev/gemini-api/docs/pricing" TargetMode="External"/><Relationship Id="rId22" Type="http://schemas.openxmlformats.org/officeDocument/2006/relationships/hyperlink" Target="https://cloud.google.com/security/compliance/hipaa-compliance" TargetMode="External"/><Relationship Id="rId23" Type="http://schemas.openxmlformats.org/officeDocument/2006/relationships/hyperlink" Target="https://cloud.google.com/identity-platform/pricing" TargetMode="External"/><Relationship Id="rId24" Type="http://schemas.openxmlformats.org/officeDocument/2006/relationships/hyperlink" Target="https://clerk.com/security" TargetMode="External"/><Relationship Id="rId25" Type="http://schemas.openxmlformats.org/officeDocument/2006/relationships/hyperlink" Target="https://clerk.com/pricing" TargetMode="External"/><Relationship Id="rId26" Type="http://schemas.openxmlformats.org/officeDocument/2006/relationships/hyperlink" Target="https://cloud.google.com/products/document-ai/pricing" TargetMode="External"/><Relationship Id="rId27" Type="http://schemas.openxmlformats.org/officeDocument/2006/relationships/hyperlink" Target="https://stripe.com/pricing" TargetMode="External"/><Relationship Id="rId28" Type="http://schemas.openxmlformats.org/officeDocument/2006/relationships/hyperlink" Target="https://www.twilio.com/en-us/sms/pricing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ClaimCoda TRD</dc:title>
  <dc:subject>Founder build pack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