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C2E11" w:rsidRDefault="00A1548E">
      <w:r>
        <w:t>Mental health conditions in Nigeria remain vastly underdiagnosed due to limited access to trained professi</w:t>
      </w:r>
      <w:r>
        <w:t>onals and geographic barriers as m</w:t>
      </w:r>
      <w:r>
        <w:t>any individuals struggle to express their needs, and existing systems cannot detect distress from informal communicati</w:t>
      </w:r>
      <w:r>
        <w:t>on (</w:t>
      </w:r>
      <w:r>
        <w:t>social media, SMS, community conversations</w:t>
      </w:r>
      <w:r>
        <w:t>)</w:t>
      </w:r>
      <w:r>
        <w:t xml:space="preserve">. This gap means early intervention is missed, and vulnerable populations remain invisible to healthcare. </w:t>
      </w:r>
      <w:r>
        <w:t xml:space="preserve">The </w:t>
      </w:r>
      <w:r>
        <w:t>Latent Probing for Mental Health Sentiment Classification develops a specialized language model to identify psychological indicators from unstructured text, enabling</w:t>
      </w:r>
      <w:r>
        <w:t xml:space="preserve"> early detection and referral which is g</w:t>
      </w:r>
      <w:r>
        <w:t>uided by fairness, privacy, hu</w:t>
      </w:r>
      <w:r>
        <w:t>man dignity, and transparency. T</w:t>
      </w:r>
      <w:r>
        <w:t>he tool is designed a</w:t>
      </w:r>
      <w:r>
        <w:t xml:space="preserve">s a screening aid complementing not replacing </w:t>
      </w:r>
      <w:r>
        <w:t>clinicians. It will be validated across diverse demographics to ensure equitable performance, protect sensitive data with privacy safeguards, respect cultural expressions of emotion, and communicate limitations clearly. Success means increased detection, trusted use by providers and patients, improved mental health outcomes,</w:t>
      </w:r>
      <w:r>
        <w:t xml:space="preserve"> and reduced health disparities and </w:t>
      </w:r>
      <w:bookmarkStart w:id="0" w:name="_GoBack"/>
      <w:bookmarkEnd w:id="0"/>
      <w:r>
        <w:t>not just accurate predictions.</w:t>
      </w:r>
    </w:p>
    <w:sectPr w:rsidR="00BC2E1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1548E"/>
    <w:rsid w:val="00A1548E"/>
    <w:rsid w:val="00BC2E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B29C494-28FF-4206-AEED-C2D5388308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170</Words>
  <Characters>972</Characters>
  <Application>Microsoft Office Word</Application>
  <DocSecurity>0</DocSecurity>
  <Lines>8</Lines>
  <Paragraphs>2</Paragraphs>
  <ScaleCrop>false</ScaleCrop>
  <Company/>
  <LinksUpToDate>false</LinksUpToDate>
  <CharactersWithSpaces>1140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2026-08-05T06:28:00Z</dcterms:created>
  <dcterms:modified xsi:type="dcterms:W3CDTF">2026-08-05T06:32:00Z</dcterms:modified>
</cp:coreProperties>
</file>