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PEDRRA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Training Day Enhancements Pack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Supplementary Materials for Facilitators and Participants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Risk Assessment Primer • Team Role Cards • Communication Template • Scoring Rubrics</w:t>
      </w:r>
    </w:p>
    <w:p>
      <w:pPr>
        <w:spacing w:before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— March 2026</w:t>
      </w:r>
    </w:p>
    <w:p>
      <w:r>
        <w:br w:type="page"/>
      </w:r>
    </w:p>
    <w:p>
      <w:pPr>
        <w:pBdr>
          <w:bottom w:val="single" w:color="1F3864" w:sz="4" w:space="4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1: RISK ASSESSMENT PRIMER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Distribute to participants before Scenario 1 begins (during Welcome session). This 2-page handout provides the minimum framework needed to work through the scenarios.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"/>
              <w:bottom w:val="single" w:color="2E75B6" w:sz="1"/>
              <w:right w:val="single" w:color="2E75B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Purpose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primer gives you the essential risk assessment framework you will apply during the scenarios.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full lecture on Personal Data Breach Essentials follows Scenario 1 and provides deeper context.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now, focus on understanding the 3-tier risk framework and the key assessment factors.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Is a Personal Data Breach?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personal data breach</w:t>
      </w:r>
      <w:r>
        <w:rPr>
          <w:rFonts w:ascii="Arial" w:cs="Arial" w:eastAsia="Arial" w:hAnsi="Arial"/>
          <w:sz w:val="22"/>
          <w:szCs w:val="22"/>
        </w:rPr>
        <w:t xml:space="preserve"> is “a breach of security leading to the accidental or unlawful destruction, loss, alteration, unauthorised disclosure of, or access to, personal data” (Article 3(16) EUDPR).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Three types: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Confidentiality breach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Unauthorised disclosure or access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sent to wrong recipient; stolen laptop with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 breach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Unauthorised alteration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records modified by attacker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breach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of access to data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Ransomware encrypts files; only copy destroyed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 single incident can involve multiple types simultaneously.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The 3-Tier Risk Framework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Every personal data breach must be assessed against this framework: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26"/>
        <w:gridCol w:w="4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Unlikely Risk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breach is unlikely to result in a risk to the rights and freedoms of data subjects.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record only (Art. 34(5)). No EDPS notification. No data subject communication.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breach is likely to result in a risk, but not a high risk.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the EDPS within 72 hours (Art. 34). No data subject communication.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Risk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breach is likely to result in a HIGH risk to the rights and freedoms of data subjects.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the EDPS within 72 hours (Art. 34) AND communicate to data subjects without undue delay (Art. 35).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Key Assessment Factors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When assessing risk, consider each of these factors from the EDPS Guidelines: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26"/>
        <w:gridCol w:w="4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Ask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Higher Risk If...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breach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Confidentiality, integrity, or availability?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Confidentiality (data in wrong hands)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 of data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categories of personal data are affected?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categories (health, political opinions,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Sensitivity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sensitive is the data in context?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that could cause discrimination or stigma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records / data subjects affected?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numbers of individuals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of identification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data subjects be identified from the data?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Directly identifiable (name, email, ID number)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 of consequences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could happen to the data subjects?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theft, discrimination, physical danger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characteristics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affected individuals vulnerable?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Children, patients, whistleblowers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 of threat actor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has the data now?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Sophisticated/motivated actor vs. opportunistic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Mitigating measures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the data protected (encryption, pseudonymisation)?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encryption; data in clear text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017" w:sz="4"/>
              <w:left w:val="single" w:color="D4A017" w:sz="1"/>
              <w:bottom w:val="single" w:color="D4A017" w:sz="1"/>
              <w:right w:val="single" w:color="D4A017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Key Principle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risk assessment must focus on the data SUBJECTS, not on the organisation.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Ask: “What could happen to the PEOPLE whose data was compromised?” — not “What could happen to our institution?”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most common error identified in EDPS supervision (Finding #2).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The 72-Hour Clock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If the breach is assessed as “Risk” or “High Risk,” the controller must notify the EDPS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without undue delay and, where feasible, not later than 72 hours</w:t>
      </w:r>
      <w:r>
        <w:rPr>
          <w:rFonts w:ascii="Arial" w:cs="Arial" w:eastAsia="Arial" w:hAnsi="Arial"/>
          <w:sz w:val="22"/>
          <w:szCs w:val="22"/>
        </w:rPr>
        <w:t xml:space="preserve"> after becoming “aware.”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does “awareness” start? </w:t>
      </w:r>
      <w:r>
        <w:rPr>
          <w:rFonts w:ascii="Arial" w:cs="Arial" w:eastAsia="Arial" w:hAnsi="Arial"/>
          <w:sz w:val="22"/>
          <w:szCs w:val="22"/>
        </w:rPr>
        <w:t xml:space="preserve">When the controller has a “reasonable degree of certainty” that personal data has been compromised. This is not when the DPO is formally told — it is when the institution, through any of its staff, gains that certainty.</w:t>
      </w:r>
    </w:p>
    <w:p>
      <w:r>
        <w:br w:type="page"/>
      </w:r>
    </w:p>
    <w:p>
      <w:pPr>
        <w:pBdr>
          <w:bottom w:val="single" w:color="1F3864" w:sz="4" w:space="4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2: TEAM ROLE ASSIGNMENT CARDS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Print and cut. The facilitator assigns one card per team member at the start of each scenario. Participants play these roles regardless of their actual job title.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"/>
              <w:bottom w:val="single" w:color="2E75B6" w:sz="1"/>
              <w:right w:val="single" w:color="2E75B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Facilitator Instructions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 roles so that each team has at least a DPO Lead, a Technical Lead (LCO/IT), and a Decision-Maker.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the team has 4+ members, add the Legal/Comms role.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Rotate roles between Scenario 1 and Scenario 2 so everyone experiences a different perspective.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Announce: “For this scenario, you are responsible for the tasks on your card. Your team’s output must reflect all perspectives.”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🛡 DPO LEAD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Data Protection Officer perspective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responsibilities in this scenario: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LEAD the risk assessment. Ensure the team considers all EDPS guideline factors.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decide the notification chain: who must be informed, in what order, within what timeframe.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draft the notification decision: Unlikely Risk / Risk / High Risk — with written justification.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ensure the assessment focuses on DATA SUBJECTS, not on the organisation.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the team concludes High Risk, you lead the Article 35 communication draft.</w:t>
            </w:r>
          </w:p>
          <w:p>
            <w:pPr>
              <w:spacing w:before="100" w:after="0"/>
            </w:pPr>
          </w:p>
          <w:p>
            <w:pPr>
              <w:pBdr>
                <w:top w:val="single" w:color="2E75B6" w:sz="1" w:space="4"/>
              </w:pBd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Remember: You are the controller’s conscience. If something feels like it’s being under-evaluated, push back.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🔧 TECHNICAL LEAD (LCO / IT Security)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Local Cybersecurity Officer / IT Security perspective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responsibilities in this scenario: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LEAD the technical analysis: what happened, what data was affected, what protections were in place.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assess the effectiveness of security measures (encryption, remote wipe, pseudonymisation).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identify what technical information is missing and who should provide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coordinate with CERT-EU obligations under the Cybersecurity Regulation.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evaluate the threat actor: opportunistic vs. targeted vs. state-sponsored.</w:t>
            </w:r>
          </w:p>
          <w:p>
            <w:pPr>
              <w:spacing w:before="100" w:after="0"/>
            </w:pPr>
          </w:p>
          <w:p>
            <w:pPr>
              <w:pBdr>
                <w:top w:val="single" w:color="2E75B6" w:sz="1" w:space="4"/>
              </w:pBd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Remember: Be honest about what encryption can and cannot protect against. Don’t overstate technical safeguards.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🏛 DECISION-MAKER (Senior Management)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Strategic decision-making perspective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responsibilities in this scenario: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make the FINAL call on the risk level and notification decision, based on the team’s analysis.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must verbally present your team’s verdict and justification in the plenary (under 2 minutes).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consider: organisational accountability, reputational implications, and the 72-hour clock.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challenge the team if the rationale is weak: “Can we defend this to the EDPS?”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ensure the risk assessment is documented, not just discussed.</w:t>
            </w:r>
          </w:p>
          <w:p>
            <w:pPr>
              <w:spacing w:before="100" w:after="0"/>
            </w:pPr>
          </w:p>
          <w:p>
            <w:pPr>
              <w:pBdr>
                <w:top w:val="single" w:color="2E75B6" w:sz="1" w:space="4"/>
              </w:pBd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Remember: You are accountable. “I didn’t know” is not a defence. Ask the hard questions now.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📜 LEGAL / COMMUNICATIONS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Legal compliance and data subject communication perspective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responsibilities in this scenario: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verify the legal basis for each notification obligation (Articles 33, 34, 35 EUDPR).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assess processor accountability: what does the DPA require? Was it followed?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lead the data subject communication draft (Article 35 elements).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ensure communications use clear, non-technical language that empowers data subjects.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flag any additional violations (data retention, storage limitation, RoPA completeness).</w:t>
            </w:r>
          </w:p>
          <w:p>
            <w:pPr>
              <w:spacing w:before="100" w:after="0"/>
            </w:pPr>
          </w:p>
          <w:p>
            <w:pPr>
              <w:pBdr>
                <w:top w:val="single" w:color="2E75B6" w:sz="1" w:space="4"/>
              </w:pBd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Remember: Your job is to make the complex simple. If a data subject can’t understand the communication, it fails.</w:t>
            </w:r>
          </w:p>
        </w:tc>
      </w:tr>
    </w:tbl>
    <w:p>
      <w:r>
        <w:br w:type="page"/>
      </w:r>
    </w:p>
    <w:p>
      <w:pPr>
        <w:pBdr>
          <w:bottom w:val="single" w:color="1F3864" w:sz="4" w:space="4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3: DATA SUBJECT COMMUNICATION TEMPLATE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Pre-filled template for the 15-minute communication drafting exercise. Distribute to teams during Section 15:00–15:15. The scaffolding lets teams focus on the hardest elements.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"/>
              <w:bottom w:val="single" w:color="2E75B6" w:sz="1"/>
              <w:right w:val="single" w:color="2E75B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Exercise Instructions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elements marked [PRE-FILLED] are provided for you. Focus your 15 minutes on the elements marked [YOUR TEAM DRAFTS].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communication must be understandable by a non-expert. Avoid jargon. Be specific and actionable.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Consider: this communication may be translated into 24 languages and read by 750,000 people.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DATA BREACH NOTIFICATION TO DATA SUBJECTS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Pursuant to Article 35 of Regulation (EU) 2018/1725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[PRE-FILLED] 1. Contact Details of the Data Protection Officer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[DPO Name], Data Protection Officer, [EUIBA-Alpha]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Email: dpo@euiba-alpha.europa.eu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Phone: +32 2 XXX XXXX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[PRE-FILLED] 2. Nature of the Breach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 are writing to inform you about a security incident affecting data collected as part of the [Project Name] public health research study, in which you participated. A third-party service provider that hosted the study database experienced a security breach. An unauthorised party accessed the database, which contained information linked to your participation.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[YOUR TEAM DRAFTS] 3. Likely Consequences for You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Draft 3–4 sentences explaining what this means for the data subject personally. Be honest, specific, and proportionate. Do NOT minimise the risk, but do NOT cause unnecessary alarm.</w:t>
            </w:r>
          </w:p>
          <w:p>
            <w:pPr>
              <w:pBdr>
                <w:bottom w:val="single" w:color="CCCCCC" w:sz="1" w:space="1"/>
              </w:pBd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CCCCC" w:sz="1" w:space="1"/>
              </w:pBd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CCCCC" w:sz="1" w:space="1"/>
              </w:pBd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CCCCC" w:sz="1" w:space="1"/>
              </w:pBd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[PRE-FILLED] 4. Measures We Have Taken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We have secured the systems and engaged independent cybersecurity experts to investigate.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We have notified the European Data Protection Supervisor and CERT-EU.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We are working with law enforcement authorities.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We have enhanced security monitoring on all related systems.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[YOUR TEAM DRAFTS] 5. What You Can Do to Protect Yourself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Draft 3–4 specific, actionable steps the data subject can take. These must be things the person can actually DO. Avoid vague advice like “be vigilant.”</w:t>
            </w:r>
          </w:p>
          <w:p>
            <w:pPr>
              <w:pBdr>
                <w:bottom w:val="single" w:color="CCCCCC" w:sz="1" w:space="1"/>
              </w:pBd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CCCCC" w:sz="1" w:space="1"/>
              </w:pBd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CCCCC" w:sz="1" w:space="1"/>
              </w:pBd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CCCCC" w:sz="1" w:space="1"/>
              </w:pBd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[YOUR TEAM DRAFTS] 6. Delivery Method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How will you reach 750,000 individuals across 27 Member States? Consider: language (24 official EU languages), channel (email, post, public announcement?), Article 35(3)(c) exception for disproportionate effort.</w:t>
            </w:r>
          </w:p>
          <w:p>
            <w:pPr>
              <w:pBdr>
                <w:bottom w:val="single" w:color="CCCCCC" w:sz="1" w:space="1"/>
              </w:pBd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CCCCC" w:sz="1" w:space="1"/>
              </w:pBd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CCCCC" w:sz="1" w:space="1"/>
              </w:pBd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</w:p>
        </w:tc>
      </w:tr>
    </w:tbl>
    <w:p>
      <w:r>
        <w:br w:type="page"/>
      </w:r>
    </w:p>
    <w:p>
      <w:pPr>
        <w:pBdr>
          <w:bottom w:val="single" w:color="1F3864" w:sz="4" w:space="4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4: WORKBOOK SCORING RUBRICS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Facilitator tool for consistent Level 2 assessment. Complete one rubric per team per scenario. Use during post-session review and for the AAR.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Scenario 1 Scoring Rubric: The Encrypted Gateway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Assessor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600"/>
        <w:gridCol w:w="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 (3)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Adequate (2)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 (1)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Breach identification: correctly identified as confidentiality breach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Correctly identified confidentiality breach with clear reasoning; noted availability is NOT affected due to backups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 as breach but reasoning incomplete or missed availability 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Misidentified breach type or concluded no breach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Notification chain: complete and correctly sequenced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key roles included (IT→LCO→DPO→Mgmt→Legal); logical sequence; timeframes specified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roles included but sequence unclear or timeframes missing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roles omitted (e.g., LCO or DPO); no timeframes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72-hour awareness trigger: justified 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Chose a specific timestamp with clear legal reasoning citing EDPS “reasonable certainty” 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Chose a timestamp but justification was vague or didn’t cite the legal standard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clear position or unjustified answer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Risk assessment: all key factors addressed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Addressed ≥8 of 10 factors in the analysis grid; clear ↑/↓ markings with reasoning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Addressed 5–7 factors; some reasoning provided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Addressed &lt;5 factors; minimal reasoning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Risk verdict: justified and updated after inject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verdict with structured justification; verdict reconsidered after inject with explicit reasoning for change (or no change)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Verdict stated but justification thin; inject acknowledged but not fully integrated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clear verdict, or inject ignored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Focus on data subjects (not organisation)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consistently frames risk in terms of harm to the 150 experts; no organisational risk 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Mostly data-subject-focused but some organisational risk language slipped 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primarily about organisational risk (reputational damage, audit findings, etc.)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26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(out of 18)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Assessment: Strong (≥15) / Adequate (10–14) / Weak (&lt;10)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Scenario 2 Scoring Rubric: The Inter-Agency Data Leak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Assessor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600"/>
        <w:gridCol w:w="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 (3)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Adequate (2)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 (1)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Breach identification and 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Correctly identified confidentiality breach; noted pseudonymised data is still personal data; identified health indicator as Art.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 breach but missed pseudonymisation point or health data classification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Misclassified breach or failed to identify Art. 10 data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Inter-institutional communication (EUIBA-Beta)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 need to secure re-identification key; specified communication channel and content; addressed all 4 considerations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 EUIBA-Beta involvement but missed some considerations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to address EUIBA-Beta communication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Cybersecurity Regulation obligations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 CERT-EU obligations; specified LCO role and timeframe; noted intersection with EUDPR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Mentioned CERT-EU but details incomplete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Cybersecurity Regulation entirely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Risk assessment: structured factor-by-factor argument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Addressed all 9 factors (8 pre-inject + 1 post-inject); structured argument for verdict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Addressed 5–8 factors; argument present but not fully structured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Addressed &lt;5 factors; verdict stated without structured reasoning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Risk vs. High Risk: reasoned position updated after inject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verdict with legal reasoning; inject explicitly caused reassessment; post-inject position well-justified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Verdict stated; inject acknowledged but reassessment reasoning thin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clear position, or inject did not prompt reassessment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Processor accountability addressed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 CloudVault’s encryption failure; connected to DPA obligations; discussed controller’s own accountability (DPIA review, oversight)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Mentioned processor failure but didn’t connect to controller accountability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Ignored processor accountability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Data retention violation identified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 as separate violation; connected to storage limitation principle; noted compounding effect on breach 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Mentioned retention issue but didn’t identify it as a separate violation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data retention issue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Data subject communication (if applicable)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Drafted communication with all Art. 35 elements; clear non-technical language; addressed delivery challenge (27 MS, multilingual)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included most elements but language was technical or delivery not addressed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missing, incomplete, or incomprehensible to a non-expert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26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(out of 24)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Assessment: Strong (≥20) / Adequate (13–19) / Weak (&lt;13)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88888"/>
        <w:sz w:val="16"/>
        <w:szCs w:val="16"/>
      </w:rPr>
      <w:t xml:space="preserve">PEDRRA — Training Day Enhancements Pack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2026-03-13T09:46:10.288Z</dcterms:created>
  <dcterms:modified xsi:type="dcterms:W3CDTF">2026-03-13T09:46:10.289Z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