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EUROPEAN DATA PROTECTION SUPERVISOR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Technology &amp; Privacy Unit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PEDRRA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Participant Pre-Reading Package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Please review this document before the training day</w:t>
      </w:r>
    </w:p>
    <w:p>
      <w:pPr>
        <w:spacing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— March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Estimated reading time: 25–30 minutes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to Use This Package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package contains the essential background you need for the PEDRRA training. It is deliberately concise.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1–2: Key EUDPR provisions on personal data breach (Articles 33–35).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3–4: Summary of EDPS Guidelines on personal data breach notification.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5: Key provisions of the Cybersecurity Regulation.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6–7: EU Connect scenario context and network overview.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8–9: Role-specific information sheets.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10: Glossary of key terms.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do NOT need to memorise this material. You WILL have access to it during the exercises.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EUDPR: Personal Data Breach Provisions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Regulation (EU) 2018/1725 — the key articles you will apply during the training.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3(16): Definition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“Personal data breach” means a breach of security leading to the accidental or unlawful destruction, loss, alteration, unauthorised disclosure of, or access to, personal data transmitted, stored or otherwise processed.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</w:t>
      </w:r>
      <w:r>
        <w:rPr>
          <w:rFonts w:ascii="Arial" w:cs="Arial" w:eastAsia="Arial" w:hAnsi="Arial"/>
          <w:sz w:val="22"/>
          <w:szCs w:val="22"/>
        </w:rPr>
        <w:t xml:space="preserve">Not every security incident is a personal data breach, but every personal data breach IS a security incident.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34: Notification to the EDPS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When: </w:t>
      </w:r>
      <w:r>
        <w:rPr>
          <w:rFonts w:ascii="Arial" w:cs="Arial" w:eastAsia="Arial" w:hAnsi="Arial"/>
          <w:sz w:val="22"/>
          <w:szCs w:val="22"/>
        </w:rPr>
        <w:t xml:space="preserve">In the case of a personal data breach, the controller shall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without undue delay</w:t>
      </w:r>
      <w:r>
        <w:rPr>
          <w:rFonts w:ascii="Arial" w:cs="Arial" w:eastAsia="Arial" w:hAnsi="Arial"/>
          <w:sz w:val="22"/>
          <w:szCs w:val="22"/>
        </w:rPr>
        <w:t xml:space="preserve"> and, where feasible,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later than 72 hours</w:t>
      </w:r>
      <w:r>
        <w:rPr>
          <w:rFonts w:ascii="Arial" w:cs="Arial" w:eastAsia="Arial" w:hAnsi="Arial"/>
          <w:sz w:val="22"/>
          <w:szCs w:val="22"/>
        </w:rPr>
        <w:t xml:space="preserve"> after having become aware of it, notify the EDPS. Where notification is not made within 72 hours, it shall be accompanied by reasons for the delay.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Exception: </w:t>
      </w:r>
      <w:r>
        <w:rPr>
          <w:rFonts w:ascii="Arial" w:cs="Arial" w:eastAsia="Arial" w:hAnsi="Arial"/>
          <w:sz w:val="22"/>
          <w:szCs w:val="22"/>
        </w:rPr>
        <w:t xml:space="preserve">The notification is not required if the breach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unlikely to result in a risk</w:t>
      </w:r>
      <w:r>
        <w:rPr>
          <w:rFonts w:ascii="Arial" w:cs="Arial" w:eastAsia="Arial" w:hAnsi="Arial"/>
          <w:sz w:val="22"/>
          <w:szCs w:val="22"/>
        </w:rPr>
        <w:t xml:space="preserve"> to the rights and freedoms of natural persons.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of notification (Art. 34(3)):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(a) The nature of the breach, including the categories and approximate number of data subjects and records concerned.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(b) The name and contact details of the DPO or other contact point.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(c) The likely consequences of the breach.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(d) The measures taken or proposed to address the breach, including measures to mitigate its possible adverse effects.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Phased notification: </w:t>
      </w:r>
      <w:r>
        <w:rPr>
          <w:rFonts w:ascii="Arial" w:cs="Arial" w:eastAsia="Arial" w:hAnsi="Arial"/>
          <w:sz w:val="22"/>
          <w:szCs w:val="22"/>
        </w:rPr>
        <w:t xml:space="preserve">Information may be provided in phases without undue further delay.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record (Art. 34(5)): </w:t>
      </w:r>
      <w:r>
        <w:rPr>
          <w:rFonts w:ascii="Arial" w:cs="Arial" w:eastAsia="Arial" w:hAnsi="Arial"/>
          <w:sz w:val="22"/>
          <w:szCs w:val="22"/>
        </w:rPr>
        <w:t xml:space="preserve">The controller must document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</w:t>
      </w:r>
      <w:r>
        <w:rPr>
          <w:rFonts w:ascii="Arial" w:cs="Arial" w:eastAsia="Arial" w:hAnsi="Arial"/>
          <w:sz w:val="22"/>
          <w:szCs w:val="22"/>
        </w:rPr>
        <w:t xml:space="preserve"> personal data breaches, including facts, effects, and remedial action — even if no notification was sent to the EDPS.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35: Communication to the Data Subject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When: </w:t>
      </w:r>
      <w:r>
        <w:rPr>
          <w:rFonts w:ascii="Arial" w:cs="Arial" w:eastAsia="Arial" w:hAnsi="Arial"/>
          <w:sz w:val="22"/>
          <w:szCs w:val="22"/>
        </w:rPr>
        <w:t xml:space="preserve">When the breach is likely to result in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 risk</w:t>
      </w:r>
      <w:r>
        <w:rPr>
          <w:rFonts w:ascii="Arial" w:cs="Arial" w:eastAsia="Arial" w:hAnsi="Arial"/>
          <w:sz w:val="22"/>
          <w:szCs w:val="22"/>
        </w:rPr>
        <w:t xml:space="preserve"> to the rights and freedoms of natural persons, the controller shall communicate the breach to the data subject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without undue delay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(Art. 35(2)): </w:t>
      </w:r>
      <w:r>
        <w:rPr>
          <w:rFonts w:ascii="Arial" w:cs="Arial" w:eastAsia="Arial" w:hAnsi="Arial"/>
          <w:sz w:val="22"/>
          <w:szCs w:val="22"/>
        </w:rPr>
        <w:t xml:space="preserve">In clear and plain language, describe: the nature of the breach, the DPO contact, the likely consequences, and the measures taken or proposed.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Exceptions (Art. 35(3)):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(a) The controller has implemented appropriate technical protection measures (e.g., encryption) that render the data unintelligible.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(b) The controller has taken subsequent measures which ensure that the high risk is no longer likely to materialise.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(c) It would involve disproportionate effort — in which case a public communication or similar measure may be used instead.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Article 33: Processor Obligations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processor shall notify the controller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without undue delay</w:t>
      </w:r>
      <w:r>
        <w:rPr>
          <w:rFonts w:ascii="Arial" w:cs="Arial" w:eastAsia="Arial" w:hAnsi="Arial"/>
          <w:sz w:val="22"/>
          <w:szCs w:val="22"/>
        </w:rPr>
        <w:t xml:space="preserve"> after becoming aware of a personal data breach.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implication: </w:t>
      </w:r>
      <w:r>
        <w:rPr>
          <w:rFonts w:ascii="Arial" w:cs="Arial" w:eastAsia="Arial" w:hAnsi="Arial"/>
          <w:sz w:val="22"/>
          <w:szCs w:val="22"/>
        </w:rPr>
        <w:t xml:space="preserve">The processor’s notification starts the clock for the controller. The controller cannot delay by waiting for “complete information.”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EDPS Guidelines: Key Principles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Summary of EDPS Guidelines on Personal Data Breach Notification (21 November 2018) and EDPB Guidelines 9/2022.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Assessing Risk to Data Subjects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assessment must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objective</w:t>
      </w:r>
      <w:r>
        <w:rPr>
          <w:rFonts w:ascii="Arial" w:cs="Arial" w:eastAsia="Arial" w:hAnsi="Arial"/>
          <w:sz w:val="22"/>
          <w:szCs w:val="22"/>
        </w:rPr>
        <w:t xml:space="preserve"> and focus on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likelihood and severity of the risk to the rights and freedoms of data subjects.</w:t>
      </w:r>
      <w:r>
        <w:rPr>
          <w:rFonts w:ascii="Arial" w:cs="Arial" w:eastAsia="Arial" w:hAnsi="Arial"/>
          <w:sz w:val="22"/>
          <w:szCs w:val="22"/>
        </w:rPr>
        <w:t xml:space="preserve"> It is NOT about risk to the organisation.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Factors to consider: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breach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Confidentiality breaches where data is in the hands of an unauthorised third party are generally higher risk than pure availability breaches.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and sensitivity of data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categories (health, political opinions, biometric, genetic) and financial data significantly increase risk. Context matters: professional emails are less sensitive than health records.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of identification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Directly identifiable data (name + email + ID) vs. pseudonymised data. Pseudonymisation reduces but does not eliminate risk.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 of consequences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Consider: identity theft, financial loss, discrimination, reputational damage, physical/psychological harm, loss of control over personal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number of affected individuals. Large-scale breaches create systemic risk.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characteristics of individuals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Vulnerable persons (children, patients, employees, whistleblowers) face higher risk from the same breach.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characteristics of the controller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Considerations specific to the controller’s role and relationship with data subjects.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affected individuals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 a breach affecting one person can be high risk if the data is extremely sensitive.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3-Tier Decision Framework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Unlikely Risk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record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EDPS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(within 72 hours)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(within 72 hours)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Communicate to data subjects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(without undue delay)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When Pseudonymisation and Encryption Help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Encryption and pseudonymisation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mitigating factors</w:t>
      </w:r>
      <w:r>
        <w:rPr>
          <w:rFonts w:ascii="Arial" w:cs="Arial" w:eastAsia="Arial" w:hAnsi="Arial"/>
          <w:sz w:val="22"/>
          <w:szCs w:val="22"/>
        </w:rPr>
        <w:t xml:space="preserve">, not silver bullets: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If data is encrypted with a state-of-the-art algorithm and the key has not been compromised, this may reduce the breach to “unlikely risk.”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If the encryption key is compromised, lost, or accessible to the attacker, encryption provides no protection.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Pseudonymised data is still personal data under the EUDPR. The existence of a re-identification key (even if separate and secure) means the data remains identifiable.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 motivated, well-resourced attacker may attempt re-identification through alternative means (quasi-identifiers, auxiliary datasets).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Cybersecurity Regulation: Key Provisions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Regulation (EU, Euratom) 2023/2841 — provisions relevant to personal data breach management.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Regulation lays down measures for a high common level of cybersecurity at Union entities. It creates obligations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intersect with and complement</w:t>
      </w:r>
      <w:r>
        <w:rPr>
          <w:rFonts w:ascii="Arial" w:cs="Arial" w:eastAsia="Arial" w:hAnsi="Arial"/>
          <w:sz w:val="22"/>
          <w:szCs w:val="22"/>
        </w:rPr>
        <w:t xml:space="preserve"> the EUDPR’s breach notification requirements.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Cybersecurity Officer (LCO)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Designated by each EUIBA. Responsible for implementing the Regulation, reporting incidents to CERT-EU, and coordinating with the DPO on incidents involving personal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CERT-EU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Computer Emergency Response Team for EU institutions. Coordinates incident response across EUIBAs. Classifies incidents by severity.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Obligations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Significant incidents must be reported to CERT-EU without undue delay (Article 21).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The LCO must coordinate with CERT-EU for incidents classified as “significant” under Article 19.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When a cybersecurity incident involves personal data, the LCO must coordinate with the DPO to ensure EUDPR obligations are also met.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Information shared with CERT-EU covers: nature of the incident, impact assessment, containment measures, and potential cross-border effects.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During the PEDRRA exercise: </w:t>
      </w:r>
      <w:r>
        <w:rPr>
          <w:rFonts w:ascii="Arial" w:cs="Arial" w:eastAsia="Arial" w:hAnsi="Arial"/>
          <w:sz w:val="22"/>
          <w:szCs w:val="22"/>
        </w:rPr>
        <w:t xml:space="preserve">Pay attention to the interplay between the LCO’s CERT-EU reporting obligations and the DPO’s EDPS notification obligations. They run in parallel, not sequentially.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Scenario Context: EU Connect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is the fictitious EUIBA used in the PEDRRA scenarios. Familiarise yourself with its structure.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Organisation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Connect (fictitious EUIBA)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framework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EUDPR + Cybersecurity Regulation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roles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 Officer (DPO), Local Cybersecurity Officer (LCO), IT Security team, Head of Unit, Senior Management, Legal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procedures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incident response procedure; DPO must be consulted when a security incident may involve personal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relationships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external consultants under DPA (Art. 29 EUDPR); uses cloud service providers under DPA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platform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"UnionGate" — EU Connect’s main project collaboration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measures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Full-disk encryption policy; VPN for remote access; MDM for device management; backups on internal servers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Simplified Network Architecture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Reference diagram for the scenarios. Not all elements are relevant to every scenario.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Relevant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Secured on-premises infrastructure. Houses backups and primary project data.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1 (backups)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gateway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all remote access to EU Connect systems.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1 (consultant access)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MDM platform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Device Management. Can send remote wipe commands to enrolled devices.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1 (remote wipe)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CloudVault Solutions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cloud service provider. Hosts specific project databases under DPA.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2 (processor)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EUIBA-Beta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institution. Holds re-identification keys on a separate, isolated system.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2 (key custodian)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CERT-EU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External: EU’s cybersecurity coordination centre.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2 (incident alert)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consultants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Operate under service contracts with DPA. May store data locally on personal devices.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1 (consultant laptop)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Data Processing Agreement (DPA) Standard Terms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EU Connect’s standard DPA with processors and consultants requires: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(a) Encryption: full-disk encryption (devices) or encryption at rest (cloud storage).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(b) Access controls: VPN for remote access; role-based access for cloud storage.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(c) Data minimisation: personal data not stored locally beyond what is strictly necessary; deletion within 30 days of task completion.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(d) Incident notification: immediate notification to EU Connect IT Security of any security incident.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(e) Annual security audit: by an independent third party.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Role-Specific Information Sheets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Review the sheet for your primary professional role. During the exercise, you may be assigned a different role — these sheets help you understand what each role brings to the table.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For IT Security Personnel / LCOs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Your Perspective in Breach Management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bring: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assessment of the incident. Understanding of security controls, their effectiveness, and their limitations.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questions you should ask: 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What security measures were in place, and did they function as intended?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What is the scope of the compromise (systems, data, duration)?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Can we confirm whether data was accessed, copied, or merely exposed?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What is the threat actor’s likely capability and motivation?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What containment measures can we take immediately?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Common pitfall: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Overstating the protection provided by technical measures (e.g., “it’s encrypted, so it’s fine”). Encryption mitigates risk; it does not eliminate it.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For Data Protection Officers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Your Perspective in Breach Management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bring: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Legal assessment of the breach. Notification obligations. Risk assessment from the data subject’s perspective.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questions you should ask: 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Is this a personal data breach under Art. 3(16)? What type(s)?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What is the risk to data subjects’ rights and freedoms?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When did the controller become “aware”? When does the 72-hour clock start?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 we need to notify the EDPS? Communicate to data subjects?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Is the risk assessment documented and defensible?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Common pitfall: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Accepting the IT team’s assessment at face value without independently evaluating the risk to data subjects.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For Legal Teams / Senior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Your Perspective in Breach Management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bring: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Strategic decision-making. Accountability. Organisational context. Contractual and regulatory compliance.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questions you should ask: 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Can we defend this risk assessment to the EDPS?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What are our contractual obligations (DPA compliance)?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What is our accountability position if this goes badly?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Are there additional violations exposed by this breach (retention, documentation)?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What is the reputational and institutional impact?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Common pitfall: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Pressure to classify as “unlikely risk” to avoid notification. The EDPS may later disagree, and the accountability consequences of under-notification are severe.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Glossary of Key Terms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data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information relating to an identified or identifiable natural person.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data breach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breach of security leading to the accidental or unlawful destruction, loss, alteration, unauthorised disclosure of, or access to, personal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EU institution, body, office, or agency which determines the purposes and means of the processing of personal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natural or legal person, public authority, agency, or other body which processes personal data on behalf of the controller.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 Officer (DPO)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Designated by each EUIBA to advise on and monitor compliance with the EUDPR.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Cybersecurity Officer (LCO)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Designated by each EUIBA under the Cybersecurity Regulation to implement cybersecurity measures and report incidents to CERT-EU.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CERT-EU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Emergency Response Team for EU institutions, bodies, and agencies.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EDPS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European Data Protection Supervisor — the supervisory authority for EU institutions under the EUDPR.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EUDPR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Regulation (EU) 2018/1725 — the data protection regulation for EU institutions.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 Impact Assessment — required under Art. 39 EUDPR when processing is likely to result in high risk.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RoPA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of Processing Activities — documentation of all processing activities maintained by the controller.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 Agreement — contract between controller and processor governing data handling.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Pseudonymisation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personal data so that it cannot be attributed to a specific data subject without additional information (the key), held separately.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categories of data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revealing racial/ethnic origin, political opinions, religious beliefs, trade union membership, genetic/biometric data, health data, sex life/orientation (Art. 10 EUDPR).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72-hour rule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requirement to notify the EDPS without undue delay and, where feasible, within 72 hours of becoming aware of a breach (Art. 34).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breach that is likely to result in a high risk to the rights and freedoms of data subjects, triggering the obligation to communicate to those individuals (Art. 35).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PEDRRA — Participant Pre-Reading Package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2026-03-13T09:46:10.815Z</dcterms:created>
  <dcterms:modified xsi:type="dcterms:W3CDTF">2026-03-13T09:46:10.816Z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