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1F3864"/>
          <w:sz w:val="24"/>
          <w:szCs w:val="24"/>
        </w:rPr>
        <w:t xml:space="preserve">EUROPEAN DATA PROTECTION SUPERVISOR</w:t>
      </w:r>
    </w:p>
    <w:p>
      <w:pPr>
        <w:spacing w:after="400"/>
        <w:jc w:val="center"/>
      </w:pPr>
      <w:r>
        <w:rPr>
          <w:rFonts w:ascii="Arial" w:cs="Arial" w:eastAsia="Arial" w:hAnsi="Arial"/>
          <w:sz w:val="22"/>
          <w:szCs w:val="22"/>
        </w:rPr>
        <w:t xml:space="preserve">Technology &amp; Privacy Unit</w:t>
      </w:r>
    </w:p>
    <w:p>
      <w:pPr>
        <w:spacing w:after="80"/>
        <w:jc w:val="center"/>
      </w:pPr>
      <w:r>
        <w:rPr>
          <w:rFonts w:ascii="Arial" w:cs="Arial" w:eastAsia="Arial" w:hAnsi="Arial"/>
          <w:b/>
          <w:bCs/>
          <w:color w:val="1F3864"/>
          <w:sz w:val="56"/>
          <w:szCs w:val="56"/>
        </w:rPr>
        <w:t xml:space="preserve">PEDRRA</w:t>
      </w:r>
    </w:p>
    <w:p>
      <w:pPr>
        <w:spacing w:after="200"/>
        <w:jc w:val="center"/>
      </w:pPr>
      <w:r>
        <w:rPr>
          <w:rFonts w:ascii="Arial" w:cs="Arial" w:eastAsia="Arial" w:hAnsi="Arial"/>
          <w:color w:val="2E75B6"/>
          <w:sz w:val="26"/>
          <w:szCs w:val="26"/>
        </w:rPr>
        <w:t xml:space="preserve">PErsonal Data bReach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6"/>
              <w:left w:val="single" w:color="1F3864" w:sz="6"/>
              <w:bottom w:val="single" w:color="1F3864" w:sz="6"/>
              <w:right w:val="single" w:color="1F3864" w:sz="6"/>
            </w:tcBorders>
            <w:shd w:fill="1F3864" w:val="clear"/>
            <w:tcMar>
              <w:top w:type="dxa" w:w="200"/>
              <w:left w:type="dxa" w:w="200"/>
              <w:bottom w:type="dxa" w:w="200"/>
              <w:right w:type="dxa" w:w="200"/>
            </w:tcMar>
          </w:tcPr>
          <w:p>
            <w:pPr>
              <w:spacing w:after="60"/>
              <w:jc w:val="center"/>
            </w:pPr>
            <w:r>
              <w:rPr>
                <w:rFonts w:ascii="Arial" w:cs="Arial" w:eastAsia="Arial" w:hAnsi="Arial"/>
                <w:b/>
                <w:bCs/>
                <w:color w:val="FFFFFF"/>
                <w:sz w:val="36"/>
                <w:szCs w:val="36"/>
              </w:rPr>
              <w:t xml:space="preserve">SCENARIO 1</w:t>
            </w:r>
          </w:p>
          <w:p>
            <w:pPr>
              <w:spacing w:after="60"/>
              <w:jc w:val="center"/>
            </w:pPr>
            <w:r>
              <w:rPr>
                <w:rFonts w:ascii="Arial" w:cs="Arial" w:eastAsia="Arial" w:hAnsi="Arial"/>
                <w:b/>
                <w:bCs/>
                <w:color w:val="FFFFFF"/>
                <w:sz w:val="44"/>
                <w:szCs w:val="44"/>
              </w:rPr>
              <w:t xml:space="preserve">The Encrypted Gateway</w:t>
            </w:r>
          </w:p>
          <w:p>
            <w:pPr>
              <w:jc w:val="center"/>
            </w:pPr>
            <w:r>
              <w:rPr>
                <w:rFonts w:ascii="Arial" w:cs="Arial" w:eastAsia="Arial" w:hAnsi="Arial"/>
                <w:color w:val="B8CCE4"/>
                <w:sz w:val="28"/>
                <w:szCs w:val="28"/>
              </w:rPr>
              <w:t xml:space="preserve">(Stolen Laptop)</w:t>
            </w:r>
          </w:p>
        </w:tc>
      </w:tr>
    </w:tbl>
    <w:p>
      <w:pPr>
        <w:spacing w:before="600"/>
        <w:jc w:val="center"/>
      </w:pPr>
      <w:r>
        <w:rPr>
          <w:rFonts w:ascii="Arial" w:cs="Arial" w:eastAsia="Arial" w:hAnsi="Arial"/>
          <w:b/>
          <w:bCs/>
          <w:sz w:val="26"/>
          <w:szCs w:val="26"/>
        </w:rPr>
        <w:t xml:space="preserve">Complete Operational Package</w:t>
      </w:r>
    </w:p>
    <w:p>
      <w:pPr>
        <w:spacing w:after="80"/>
        <w:jc w:val="center"/>
      </w:pPr>
      <w:r>
        <w:rPr>
          <w:rFonts w:ascii="Arial" w:cs="Arial" w:eastAsia="Arial" w:hAnsi="Arial"/>
          <w:i/>
          <w:iCs/>
          <w:sz w:val="20"/>
          <w:szCs w:val="20"/>
        </w:rPr>
        <w:t xml:space="preserve">Facilitator Guide • Participant Briefing • Team Workbook • Risk Assessment Template • Solution Key</w:t>
      </w:r>
    </w:p>
    <w:p>
      <w:pPr>
        <w:spacing w:before="800"/>
        <w:jc w:val="center"/>
      </w:pPr>
      <w:r>
        <w:rPr>
          <w:rFonts w:ascii="Arial" w:cs="Arial" w:eastAsia="Arial" w:hAnsi="Arial"/>
          <w:sz w:val="22"/>
          <w:szCs w:val="22"/>
        </w:rPr>
        <w:t xml:space="preserve">Version 1.0 — March 2026</w:t>
      </w:r>
    </w:p>
    <w:p>
      <w:pPr>
        <w:jc w:val="center"/>
      </w:pPr>
      <w:r>
        <w:rPr>
          <w:rFonts w:ascii="Arial" w:cs="Arial" w:eastAsia="Arial" w:hAnsi="Arial"/>
          <w:i/>
          <w:iCs/>
          <w:sz w:val="20"/>
          <w:szCs w:val="20"/>
        </w:rPr>
        <w:t xml:space="preserve">CONFIDENTIAL — Facilitator copy includes solution keys</w:t>
      </w:r>
    </w:p>
    <w:p>
      <w:r>
        <w:br w:type="page"/>
      </w:r>
    </w:p>
    <w:p>
      <w:pPr>
        <w:pStyle w:val="Heading1"/>
        <w:spacing w:before="360" w:after="200"/>
      </w:pPr>
      <w:r>
        <w:rPr>
          <w:rFonts w:ascii="Arial" w:cs="Arial" w:eastAsia="Arial" w:hAnsi="Arial"/>
          <w:b/>
          <w:bCs/>
          <w:color w:val="1F3864"/>
          <w:sz w:val="32"/>
          <w:szCs w:val="32"/>
        </w:rPr>
        <w:t xml:space="preserve">Contents</w:t>
      </w:r>
    </w:p>
    <w:p>
      <w:pPr>
        <w:spacing w:after="40"/>
        <w:ind w:left="0"/>
      </w:pPr>
      <w:r>
        <w:rPr>
          <w:rFonts w:ascii="Arial" w:cs="Arial" w:eastAsia="Arial" w:hAnsi="Arial"/>
          <w:b/>
          <w:bCs/>
          <w:sz w:val="22"/>
          <w:szCs w:val="22"/>
        </w:rPr>
        <w:t xml:space="preserve">Part A: Facilitator Guide</w:t>
      </w:r>
    </w:p>
    <w:p>
      <w:pPr>
        <w:pStyle w:val="Heading3"/>
        <w:spacing w:before="280" w:after="160"/>
        <w:rPr>
          <w:b/>
          <w:rFonts w:ascii="Arial" w:hAnsi="Arial"/>
          <w:sz w:val="24"/>
          <w:color w:val="2E75B6"/>
        </w:rPr>
      </w:pPr>
      <w:r>
        <w:rPr>
          <w:b/>
          <w:rFonts w:ascii="Arial" w:hAnsi="Arial"/>
          <w:sz w:val="24"/>
          <w:color w:val="2E75B6"/>
        </w:rPr>
        <w:t xml:space="preserve">A.0 Pre-Scenario Setup (During Welcome Session)</w:t>
      </w:r>
    </w:p>
    <w:p>
      <w:pPr>
        <w:spacing w:after="120" w:line="276"/>
        <w:rPr>
          <w:b/>
          <w:rFonts w:ascii="Arial" w:hAnsi="Arial"/>
          <w:sz w:val="20"/>
        </w:rPr>
      </w:pPr>
      <w:r>
        <w:rPr>
          <w:b/>
          <w:rFonts w:ascii="Arial" w:hAnsi="Arial"/>
          <w:sz w:val="20"/>
        </w:rPr>
        <w:t xml:space="preserve">Before Scenario 1 begins, during the Welcome &amp; Context Setting (09:30–10:00), complete these two actions:</w:t>
      </w:r>
    </w:p>
    <w:p>
      <w:pPr>
        <w:spacing w:after="120" w:line="276"/>
        <w:rPr>
          <w:rFonts w:ascii="Arial" w:hAnsi="Arial"/>
          <w:sz w:val="20"/>
        </w:rPr>
      </w:pPr>
      <w:r>
        <w:rPr>
          <w:rFonts w:ascii="Arial" w:hAnsi="Arial"/>
          <w:sz w:val="20"/>
        </w:rPr>
        <w:t xml:space="preserve">1. DISTRIBUTE THE RISK ASSESSMENT PRIMER (Section 1 of the Enhancements Pack) to all participants. Allow 5 minutes for reading. This gives teams the minimum framework (3-tier risk levels, key EDPS factors) needed to work through the scenario without the full lecture.</w:t>
      </w:r>
    </w:p>
    <w:p>
      <w:pPr>
        <w:spacing w:after="120" w:line="276"/>
        <w:rPr>
          <w:rFonts w:ascii="Arial" w:hAnsi="Arial"/>
          <w:sz w:val="20"/>
        </w:rPr>
      </w:pPr>
      <w:r>
        <w:rPr>
          <w:rFonts w:ascii="Arial" w:hAnsi="Arial"/>
          <w:sz w:val="20"/>
        </w:rPr>
        <w:t xml:space="preserve">2. ASSIGN TEAM ROLE CARDS (Section 2 of the Enhancements Pack). Hand one card per team member: DPO Lead, Technical Lead (LCO/IT), Decision-Maker, and Legal/Comms (if 4+ members). Announce: “For this scenario, you are responsible for the tasks on your card.”</w:t>
      </w:r>
    </w:p>
    <w:p>
      <w:pPr>
        <w:spacing w:after="120" w:line="276"/>
        <w:rPr>
          <w:rFonts w:ascii="Arial" w:hAnsi="Arial"/>
          <w:sz w:val="20"/>
        </w:rPr>
      </w:pPr>
      <w:r>
        <w:rPr>
          <w:rFonts w:ascii="Arial" w:hAnsi="Arial"/>
          <w:sz w:val="20"/>
        </w:rPr>
        <w:t xml:space="preserve">3. For Scenario 2, ROTATE ROLES so everyone experiences a different perspective.</w:t>
      </w:r>
    </w:p>
    <w:p>
      <w:pPr>
        <w:pStyle w:val="Heading2"/>
        <w:spacing w:before="280" w:after="160"/>
        <w:rPr>
          <w:b/>
          <w:rFonts w:ascii="Arial" w:hAnsi="Arial"/>
          <w:sz w:val="26"/>
          <w:color w:val="2E75B6"/>
        </w:rPr>
      </w:pPr>
      <w:r>
        <w:rPr>
          <w:b/>
          <w:rFonts w:ascii="Arial" w:hAnsi="Arial"/>
          <w:sz w:val="26"/>
          <w:color w:val="2E75B6"/>
        </w:rPr>
        <w:t xml:space="preserve">A.6 Post-Session Assessment</w:t>
      </w:r>
    </w:p>
    <w:p>
      <w:pPr>
        <w:spacing w:after="120" w:line="276"/>
        <w:rPr>
          <w:rFonts w:ascii="Arial" w:hAnsi="Arial"/>
          <w:sz w:val="20"/>
        </w:rPr>
      </w:pPr>
      <w:r>
        <w:rPr>
          <w:rFonts w:ascii="Arial" w:hAnsi="Arial"/>
          <w:sz w:val="20"/>
        </w:rPr>
        <w:t xml:space="preserve">After the session, use the Scenario 1 Scoring Rubric (Section 4.1 of the Enhancements Pack) to assess each team’s workbook. The rubric covers 6 criteria on a 3-point scale. Record scores for the AAR.</w:t>
      </w:r>
    </w:p>
    <w:p>
      <w:pPr>
        <w:spacing w:after="40"/>
        <w:ind w:left="360"/>
      </w:pPr>
      <w:r>
        <w:rPr>
          <w:rFonts w:ascii="Arial" w:cs="Arial" w:eastAsia="Arial" w:hAnsi="Arial"/>
          <w:sz w:val="20"/>
          <w:szCs w:val="20"/>
        </w:rPr>
        <w:t xml:space="preserve">A.1 Session Overview &amp; Timing</w:t>
      </w:r>
    </w:p>
    <w:p>
      <w:pPr>
        <w:spacing w:after="40"/>
        <w:ind w:left="360"/>
      </w:pPr>
      <w:r>
        <w:rPr>
          <w:rFonts w:ascii="Arial" w:cs="Arial" w:eastAsia="Arial" w:hAnsi="Arial"/>
          <w:sz w:val="20"/>
          <w:szCs w:val="20"/>
        </w:rPr>
        <w:t xml:space="preserve">A.2 Setup Checklist</w:t>
      </w:r>
    </w:p>
    <w:p>
      <w:pPr>
        <w:spacing w:after="40"/>
        <w:ind w:left="360"/>
      </w:pPr>
      <w:r>
        <w:rPr>
          <w:rFonts w:ascii="Arial" w:cs="Arial" w:eastAsia="Arial" w:hAnsi="Arial"/>
          <w:sz w:val="20"/>
          <w:szCs w:val="20"/>
        </w:rPr>
        <w:t xml:space="preserve">A.3 Facilitation Notes &amp; Watch Points</w:t>
      </w:r>
    </w:p>
    <w:p>
      <w:pPr>
        <w:spacing w:after="40"/>
        <w:ind w:left="360"/>
      </w:pPr>
      <w:r>
        <w:rPr>
          <w:rFonts w:ascii="Arial" w:cs="Arial" w:eastAsia="Arial" w:hAnsi="Arial"/>
          <w:sz w:val="20"/>
          <w:szCs w:val="20"/>
        </w:rPr>
        <w:t xml:space="preserve">A.4 Inject Card Instructions</w:t>
      </w:r>
    </w:p>
    <w:p>
      <w:pPr>
        <w:spacing w:after="40"/>
        <w:ind w:left="360"/>
      </w:pPr>
      <w:r>
        <w:rPr>
          <w:rFonts w:ascii="Arial" w:cs="Arial" w:eastAsia="Arial" w:hAnsi="Arial"/>
          <w:sz w:val="20"/>
          <w:szCs w:val="20"/>
        </w:rPr>
        <w:t xml:space="preserve">A.5 Debrief Extension Questions</w:t>
      </w:r>
    </w:p>
    <w:p>
      <w:pPr>
        <w:spacing w:after="60"/>
      </w:pPr>
    </w:p>
    <w:p>
      <w:pPr>
        <w:spacing w:after="40"/>
        <w:ind w:left="0"/>
      </w:pPr>
      <w:r>
        <w:rPr>
          <w:rFonts w:ascii="Arial" w:cs="Arial" w:eastAsia="Arial" w:hAnsi="Arial"/>
          <w:b/>
          <w:bCs/>
          <w:sz w:val="22"/>
          <w:szCs w:val="22"/>
        </w:rPr>
        <w:t xml:space="preserve">Part B: Participant Briefing</w:t>
      </w:r>
    </w:p>
    <w:p>
      <w:pPr>
        <w:spacing w:after="40"/>
        <w:ind w:left="360"/>
      </w:pPr>
      <w:r>
        <w:rPr>
          <w:rFonts w:ascii="Arial" w:cs="Arial" w:eastAsia="Arial" w:hAnsi="Arial"/>
          <w:sz w:val="20"/>
          <w:szCs w:val="20"/>
        </w:rPr>
        <w:t xml:space="preserve">B.1 Context: EU Connect</w:t>
      </w:r>
    </w:p>
    <w:p>
      <w:pPr>
        <w:spacing w:after="40"/>
        <w:ind w:left="360"/>
      </w:pPr>
      <w:r>
        <w:rPr>
          <w:rFonts w:ascii="Arial" w:cs="Arial" w:eastAsia="Arial" w:hAnsi="Arial"/>
          <w:sz w:val="20"/>
          <w:szCs w:val="20"/>
        </w:rPr>
        <w:t xml:space="preserve">B.2 Incident Description</w:t>
      </w:r>
    </w:p>
    <w:p>
      <w:pPr>
        <w:spacing w:after="40"/>
        <w:ind w:left="360"/>
      </w:pPr>
      <w:r>
        <w:rPr>
          <w:rFonts w:ascii="Arial" w:cs="Arial" w:eastAsia="Arial" w:hAnsi="Arial"/>
          <w:sz w:val="20"/>
          <w:szCs w:val="20"/>
        </w:rPr>
        <w:t xml:space="preserve">B.3 Initial Technical Findings</w:t>
      </w:r>
    </w:p>
    <w:p>
      <w:pPr>
        <w:spacing w:after="60"/>
      </w:pPr>
    </w:p>
    <w:p>
      <w:pPr>
        <w:spacing w:after="40"/>
        <w:ind w:left="0"/>
      </w:pPr>
      <w:r>
        <w:rPr>
          <w:rFonts w:ascii="Arial" w:cs="Arial" w:eastAsia="Arial" w:hAnsi="Arial"/>
          <w:b/>
          <w:bCs/>
          <w:sz w:val="22"/>
          <w:szCs w:val="22"/>
        </w:rPr>
        <w:t xml:space="preserve">Part C: Team Workbook</w:t>
      </w:r>
    </w:p>
    <w:p>
      <w:pPr>
        <w:spacing w:after="40"/>
        <w:ind w:left="360"/>
      </w:pPr>
      <w:r>
        <w:rPr>
          <w:rFonts w:ascii="Arial" w:cs="Arial" w:eastAsia="Arial" w:hAnsi="Arial"/>
          <w:sz w:val="20"/>
          <w:szCs w:val="20"/>
        </w:rPr>
        <w:t xml:space="preserve">C.1 Block 1: Immediate Actions &amp; Internal Information Flow</w:t>
      </w:r>
    </w:p>
    <w:p>
      <w:pPr>
        <w:spacing w:after="40"/>
        <w:ind w:left="360"/>
      </w:pPr>
      <w:r>
        <w:rPr>
          <w:rFonts w:ascii="Arial" w:cs="Arial" w:eastAsia="Arial" w:hAnsi="Arial"/>
          <w:sz w:val="20"/>
          <w:szCs w:val="20"/>
        </w:rPr>
        <w:t xml:space="preserve">C.2 Block 2: Personal Data Breach Identification</w:t>
      </w:r>
    </w:p>
    <w:p>
      <w:pPr>
        <w:spacing w:after="40"/>
        <w:ind w:left="360"/>
      </w:pPr>
      <w:r>
        <w:rPr>
          <w:rFonts w:ascii="Arial" w:cs="Arial" w:eastAsia="Arial" w:hAnsi="Arial"/>
          <w:sz w:val="20"/>
          <w:szCs w:val="20"/>
        </w:rPr>
        <w:t xml:space="preserve">C.3 Block 3: Initial Risk Assessment</w:t>
      </w:r>
    </w:p>
    <w:p>
      <w:pPr>
        <w:spacing w:after="40"/>
        <w:ind w:left="360"/>
      </w:pPr>
      <w:r>
        <w:rPr>
          <w:rFonts w:ascii="Arial" w:cs="Arial" w:eastAsia="Arial" w:hAnsi="Arial"/>
          <w:sz w:val="20"/>
          <w:szCs w:val="20"/>
        </w:rPr>
        <w:t xml:space="preserve">C.4 Risk Assessment Template</w:t>
      </w:r>
    </w:p>
    <w:p>
      <w:pPr>
        <w:spacing w:after="40"/>
        <w:ind w:left="360"/>
      </w:pPr>
      <w:r>
        <w:rPr>
          <w:rFonts w:ascii="Arial" w:cs="Arial" w:eastAsia="Arial" w:hAnsi="Arial"/>
          <w:sz w:val="20"/>
          <w:szCs w:val="20"/>
        </w:rPr>
        <w:t xml:space="preserve">C.5 Data Subject Communication Draft (if applicable)</w:t>
      </w:r>
    </w:p>
    <w:p>
      <w:pPr>
        <w:spacing w:after="60"/>
      </w:pPr>
    </w:p>
    <w:p>
      <w:pPr>
        <w:spacing w:after="40"/>
        <w:ind w:left="0"/>
      </w:pPr>
      <w:r>
        <w:rPr>
          <w:rFonts w:ascii="Arial" w:cs="Arial" w:eastAsia="Arial" w:hAnsi="Arial"/>
          <w:b/>
          <w:bCs/>
          <w:sz w:val="22"/>
          <w:szCs w:val="22"/>
        </w:rPr>
        <w:t xml:space="preserve">Part D: Inject Card</w:t>
      </w:r>
    </w:p>
    <w:p>
      <w:pPr>
        <w:spacing w:after="60"/>
      </w:pPr>
    </w:p>
    <w:p>
      <w:pPr>
        <w:spacing w:after="40"/>
        <w:ind w:left="0"/>
      </w:pPr>
      <w:r>
        <w:rPr>
          <w:rFonts w:ascii="Arial" w:cs="Arial" w:eastAsia="Arial" w:hAnsi="Arial"/>
          <w:b/>
          <w:bCs/>
          <w:sz w:val="22"/>
          <w:szCs w:val="22"/>
        </w:rPr>
        <w:t xml:space="preserve">Part E: Solution Key (Facilitator Only)</w:t>
      </w:r>
    </w:p>
    <w:p>
      <w:pPr>
        <w:spacing w:after="40"/>
        <w:ind w:left="360"/>
      </w:pPr>
      <w:r>
        <w:rPr>
          <w:rFonts w:ascii="Arial" w:cs="Arial" w:eastAsia="Arial" w:hAnsi="Arial"/>
          <w:sz w:val="20"/>
          <w:szCs w:val="20"/>
        </w:rPr>
        <w:t xml:space="preserve">E.1 Model Answers — Block 1</w:t>
      </w:r>
    </w:p>
    <w:p>
      <w:pPr>
        <w:spacing w:after="40"/>
        <w:ind w:left="360"/>
      </w:pPr>
      <w:r>
        <w:rPr>
          <w:rFonts w:ascii="Arial" w:cs="Arial" w:eastAsia="Arial" w:hAnsi="Arial"/>
          <w:sz w:val="20"/>
          <w:szCs w:val="20"/>
        </w:rPr>
        <w:t xml:space="preserve">E.2 Model Answers — Block 2</w:t>
      </w:r>
    </w:p>
    <w:p>
      <w:pPr>
        <w:spacing w:after="40"/>
        <w:ind w:left="360"/>
      </w:pPr>
      <w:r>
        <w:rPr>
          <w:rFonts w:ascii="Arial" w:cs="Arial" w:eastAsia="Arial" w:hAnsi="Arial"/>
          <w:sz w:val="20"/>
          <w:szCs w:val="20"/>
        </w:rPr>
        <w:t xml:space="preserve">E.3 Model Answers — Block 3</w:t>
      </w:r>
    </w:p>
    <w:p>
      <w:pPr>
        <w:spacing w:after="40"/>
        <w:ind w:left="360"/>
      </w:pPr>
      <w:r>
        <w:rPr>
          <w:rFonts w:ascii="Arial" w:cs="Arial" w:eastAsia="Arial" w:hAnsi="Arial"/>
          <w:sz w:val="20"/>
          <w:szCs w:val="20"/>
        </w:rPr>
        <w:t xml:space="preserve">E.4 Model Risk Assessment</w:t>
      </w:r>
    </w:p>
    <w:p>
      <w:pPr>
        <w:spacing w:after="40"/>
        <w:ind w:left="360"/>
      </w:pPr>
      <w:r>
        <w:rPr>
          <w:rFonts w:ascii="Arial" w:cs="Arial" w:eastAsia="Arial" w:hAnsi="Arial"/>
          <w:sz w:val="20"/>
          <w:szCs w:val="20"/>
        </w:rPr>
        <w:t xml:space="preserve">E.5 Post-Inject Reassessment</w:t>
      </w:r>
    </w:p>
    <w:p>
      <w:r>
        <w:br w:type="page"/>
      </w:r>
    </w:p>
    <w:p>
      <w:pPr>
        <w:pBdr>
          <w:bottom w:val="single" w:color="1F3864" w:sz="4" w:space="4"/>
        </w:pBdr>
        <w:spacing w:before="200" w:after="200"/>
        <w:jc w:val="center"/>
      </w:pPr>
      <w:r>
        <w:rPr>
          <w:rFonts w:ascii="Arial" w:cs="Arial" w:eastAsia="Arial" w:hAnsi="Arial"/>
          <w:b/>
          <w:bCs/>
          <w:color w:val="1F3864"/>
          <w:sz w:val="32"/>
          <w:szCs w:val="32"/>
        </w:rPr>
        <w:t xml:space="preserve">PART A: FACILITATOR GUIDE</w:t>
      </w:r>
    </w:p>
    <w:p>
      <w:pPr>
        <w:spacing w:after="120" w:line="276"/>
      </w:pPr>
      <w:r>
        <w:rPr>
          <w:rFonts w:ascii="Arial" w:cs="Arial" w:eastAsia="Arial" w:hAnsi="Arial"/>
          <w:i/>
          <w:iCs/>
          <w:sz w:val="22"/>
          <w:szCs w:val="22"/>
        </w:rPr>
        <w:t xml:space="preserve">This section is for facilitators only. Do not distribute to participants.</w:t>
      </w:r>
    </w:p>
    <w:p>
      <w:pPr>
        <w:pStyle w:val="Heading2"/>
        <w:spacing w:before="280" w:after="160"/>
      </w:pPr>
      <w:r>
        <w:rPr>
          <w:rFonts w:ascii="Arial" w:cs="Arial" w:eastAsia="Arial" w:hAnsi="Arial"/>
          <w:b/>
          <w:bCs/>
          <w:color w:val="2E75B6"/>
          <w:sz w:val="26"/>
          <w:szCs w:val="26"/>
        </w:rPr>
        <w:t xml:space="preserve">A.1 Session Overview &amp; Timing</w:t>
      </w:r>
    </w:p>
    <w:p>
      <w:pPr>
        <w:spacing w:after="120" w:line="276"/>
      </w:pPr>
      <w:r>
        <w:rPr>
          <w:rFonts w:ascii="Arial" w:cs="Arial" w:eastAsia="Arial" w:hAnsi="Arial"/>
          <w:sz w:val="22"/>
          <w:szCs w:val="22"/>
        </w:rPr>
        <w:t xml:space="preserve">Total allocated time: </w:t>
      </w:r>
      <w:r>
        <w:rPr>
          <w:rFonts w:ascii="Arial" w:cs="Arial" w:eastAsia="Arial" w:hAnsi="Arial"/>
          <w:b/>
          <w:bCs/>
          <w:sz w:val="22"/>
          <w:szCs w:val="22"/>
        </w:rPr>
        <w:t xml:space="preserve">60 minutes</w:t>
      </w:r>
      <w:r>
        <w:rPr>
          <w:rFonts w:ascii="Arial" w:cs="Arial" w:eastAsia="Arial" w:hAnsi="Arial"/>
          <w:sz w:val="22"/>
          <w:szCs w:val="22"/>
        </w:rPr>
        <w:t xml:space="preserve"> (45 min team exercise + 15 min plenary discussion).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1000"/>
        <w:gridCol w:w="4226"/>
      </w:tblGrid>
      <w:tr>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Activity</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Duration</w:t>
            </w:r>
          </w:p>
        </w:tc>
        <w:tc>
          <w:tcPr>
            <w:tcW w:type="dxa" w:w="42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Facilitator Action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Distribute briefing &amp; workbook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 min</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Hand out Part B and Part C to each team. Confirm teams understand the task.</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T+0:02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Teams read the scenario</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min</w:t>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Allow silent reading. Answer clarification questions only (no substantive hints).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T+0:07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work on Block 1 (Immediate Actions)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 min</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Circulate. Listen for teams that skip the 72-hour awareness question.</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T+0:15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DELIVER INJECT</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 min</w:t>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Hand out the Inject Card (Part D) to each team. Read it aloud.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T+0:16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work on Blocks 2 &amp; 3 (Breach ID + Risk Assessment)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min</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Push teams debating the remote wipe. Watch for “encryption = no risk” bias.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T+0:36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Teams finalise risk assessment template</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9 min</w:t>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Prompt teams to commit to a verdict: Unlikely Risk / Risk / High Risk.</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T+0:45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PLENARY DISCUSSION begins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Transition. Ask each team for their verdict first, then discuss.</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T+0:45</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Verdicts &amp; justification round</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5 min</w:t>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Each team states verdict in one sentence. Note on flip chart.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T+0:50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Facilitated debate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min</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E.1–E.5 to steer. Highlight the encryption vs. physical possession tension.</w:t>
            </w:r>
          </w:p>
        </w:tc>
      </w:tr>
      <w:tr>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T+0:57</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Debrief extension Qs (time permitting)</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3 min</w:t>
            </w:r>
          </w:p>
        </w:tc>
        <w:tc>
          <w:tcPr>
            <w:tcW w:type="dxa" w:w="42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Use A.5 questions. These are optional — only if time allows.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T+1:00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Wrap up</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Key takeaway: encryption reduces but does not eliminate risk.</w:t>
            </w:r>
          </w:p>
        </w:tc>
      </w:tr>
    </w:tbl>
    <w:p>
      <w:pPr>
        <w:pStyle w:val="Heading2"/>
        <w:spacing w:before="280" w:after="160"/>
      </w:pPr>
      <w:r>
        <w:rPr>
          <w:rFonts w:ascii="Arial" w:cs="Arial" w:eastAsia="Arial" w:hAnsi="Arial"/>
          <w:b/>
          <w:bCs/>
          <w:color w:val="2E75B6"/>
          <w:sz w:val="26"/>
          <w:szCs w:val="26"/>
        </w:rPr>
        <w:t xml:space="preserve">A.2 Setup Checklist</w:t>
      </w:r>
    </w:p>
    <w:p>
      <w:pPr>
        <w:spacing w:after="120" w:line="276"/>
      </w:pPr>
      <w:r>
        <w:rPr>
          <w:rFonts w:ascii="Arial" w:cs="Arial" w:eastAsia="Arial" w:hAnsi="Arial"/>
          <w:i/>
          <w:iCs/>
          <w:sz w:val="22"/>
          <w:szCs w:val="22"/>
        </w:rPr>
        <w:t xml:space="preserve">Complete 30 minutes before the session.</w:t>
      </w:r>
    </w:p>
    <w:p>
      <w:pPr>
        <w:spacing w:after="60"/>
      </w:pPr>
      <w:r>
        <w:rPr>
          <w:rFonts w:ascii="Arial" w:cs="Arial" w:eastAsia="Arial" w:hAnsi="Arial"/>
          <w:sz w:val="20"/>
          <w:szCs w:val="20"/>
        </w:rPr>
        <w:t xml:space="preserve">☐ Printed copies of Part B (Participant Briefing): one per participant</w:t>
      </w:r>
    </w:p>
    <w:p>
      <w:pPr>
        <w:spacing w:after="60"/>
      </w:pPr>
      <w:r>
        <w:rPr>
          <w:rFonts w:ascii="Arial" w:cs="Arial" w:eastAsia="Arial" w:hAnsi="Arial"/>
          <w:sz w:val="20"/>
          <w:szCs w:val="20"/>
        </w:rPr>
        <w:t xml:space="preserve">☐ Printed copies of Part C (Team Workbook): one per team</w:t>
      </w:r>
    </w:p>
    <w:p>
      <w:pPr>
        <w:spacing w:after="60"/>
      </w:pPr>
      <w:r>
        <w:rPr>
          <w:rFonts w:ascii="Arial" w:cs="Arial" w:eastAsia="Arial" w:hAnsi="Arial"/>
          <w:sz w:val="20"/>
          <w:szCs w:val="20"/>
        </w:rPr>
        <w:t xml:space="preserve">☐ Printed copies of Part D (Inject Card): one per team (keep aside until T+15)</w:t>
      </w:r>
    </w:p>
    <w:p>
      <w:pPr>
        <w:spacing w:after="60"/>
      </w:pPr>
      <w:r>
        <w:rPr>
          <w:rFonts w:ascii="Arial" w:cs="Arial" w:eastAsia="Arial" w:hAnsi="Arial"/>
          <w:sz w:val="20"/>
          <w:szCs w:val="20"/>
        </w:rPr>
        <w:t xml:space="preserve">☐ Printed copies of Risk Assessment Template (C.4): one per team</w:t>
      </w:r>
    </w:p>
    <w:p>
      <w:pPr>
        <w:spacing w:after="60"/>
      </w:pPr>
      <w:r>
        <w:rPr>
          <w:rFonts w:ascii="Arial" w:cs="Arial" w:eastAsia="Arial" w:hAnsi="Arial"/>
          <w:sz w:val="20"/>
          <w:szCs w:val="20"/>
        </w:rPr>
        <w:t xml:space="preserve">☐ Flip chart / whiteboard for recording team verdicts during plenary</w:t>
      </w:r>
    </w:p>
    <w:p>
      <w:pPr>
        <w:spacing w:after="60"/>
      </w:pPr>
      <w:r>
        <w:rPr>
          <w:rFonts w:ascii="Arial" w:cs="Arial" w:eastAsia="Arial" w:hAnsi="Arial"/>
          <w:sz w:val="20"/>
          <w:szCs w:val="20"/>
        </w:rPr>
        <w:t xml:space="preserve">☐ Pens and highlighters for each team</w:t>
      </w:r>
    </w:p>
    <w:p>
      <w:pPr>
        <w:spacing w:after="60"/>
      </w:pPr>
      <w:r>
        <w:rPr>
          <w:rFonts w:ascii="Arial" w:cs="Arial" w:eastAsia="Arial" w:hAnsi="Arial"/>
          <w:sz w:val="20"/>
          <w:szCs w:val="20"/>
        </w:rPr>
        <w:t xml:space="preserve">☐ Timer visible to facilitator (phone or wall clock)</w:t>
      </w:r>
    </w:p>
    <w:p>
      <w:pPr>
        <w:spacing w:after="60"/>
      </w:pPr>
      <w:r>
        <w:rPr>
          <w:rFonts w:ascii="Arial" w:cs="Arial" w:eastAsia="Arial" w:hAnsi="Arial"/>
          <w:sz w:val="20"/>
          <w:szCs w:val="20"/>
        </w:rPr>
        <w:t xml:space="preserve">☐ Solution Key (Part E) in facilitator’s binder (do NOT distribute)</w:t>
      </w:r>
    </w:p>
    <w:p>
      <w:pPr>
        <w:spacing w:after="60"/>
      </w:pPr>
      <w:r>
        <w:rPr>
          <w:rFonts w:ascii="Arial" w:cs="Arial" w:eastAsia="Arial" w:hAnsi="Arial"/>
          <w:sz w:val="20"/>
          <w:szCs w:val="20"/>
        </w:rPr>
        <w:t xml:space="preserve">☐ Analog Kit ready as technology backup (if app-based elements are planned)</w:t>
      </w:r>
    </w:p>
    <w:p>
      <w:pPr>
        <w:pStyle w:val="Heading2"/>
        <w:spacing w:before="280" w:after="160"/>
      </w:pPr>
      <w:r>
        <w:rPr>
          <w:rFonts w:ascii="Arial" w:cs="Arial" w:eastAsia="Arial" w:hAnsi="Arial"/>
          <w:b/>
          <w:bCs/>
          <w:color w:val="2E75B6"/>
          <w:sz w:val="26"/>
          <w:szCs w:val="26"/>
        </w:rPr>
        <w:t xml:space="preserve">A.3 Facilitation Notes &amp; Watch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1: “Encryption = No Risk” Bias</w:t>
            </w:r>
          </w:p>
          <w:p>
            <w:pPr>
              <w:spacing w:after="60" w:line="276"/>
            </w:pPr>
            <w:r>
              <w:rPr>
                <w:rFonts w:ascii="Arial" w:cs="Arial" w:eastAsia="Arial" w:hAnsi="Arial"/>
                <w:sz w:val="20"/>
                <w:szCs w:val="20"/>
              </w:rPr>
              <w:t xml:space="preserve">Some teams will conclude that full-disk encryption eliminates all risk. Challenge them:</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What if the passphrase is eventually brute-forced? BitLocker is strong, but not unbreakable over time.</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The thief has unlimited physical access. No time pressure. They can try at their leisure.</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Encryption protects data at rest, but the device is permanently out of the controller’s hands.</w:t>
            </w:r>
          </w:p>
          <w:p>
            <w:pPr>
              <w:spacing w:after="60" w:line="276"/>
            </w:pPr>
            <w:r>
              <w:rPr>
                <w:rFonts w:ascii="Arial" w:cs="Arial" w:eastAsia="Arial" w:hAnsi="Arial"/>
                <w:sz w:val="20"/>
                <w:szCs w:val="20"/>
              </w:rPr>
              <w:t xml:space="preserve">Reinforce: encryption is a mitigating factor, not an absolute shield.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2: The 72-Hour Awareness Trigger</w:t>
            </w:r>
          </w:p>
          <w:p>
            <w:pPr>
              <w:spacing w:after="60" w:line="276"/>
            </w:pPr>
            <w:r>
              <w:rPr>
                <w:rFonts w:ascii="Arial" w:cs="Arial" w:eastAsia="Arial" w:hAnsi="Arial"/>
                <w:sz w:val="20"/>
                <w:szCs w:val="20"/>
              </w:rPr>
              <w:t xml:space="preserve">Question 3 of Block 1 asks when the EUIBA becomes “aware.” Expect debate. Three candidate moments:</w:t>
            </w:r>
          </w:p>
          <w:p>
            <w:pPr>
              <w:spacing w:after="60" w:line="276"/>
            </w:pPr>
            <w:r>
              <w:rPr>
                <w:rFonts w:ascii="Arial" w:cs="Arial" w:eastAsia="Arial" w:hAnsi="Arial"/>
                <w:b/>
                <w:bCs/>
                <w:sz w:val="20"/>
                <w:szCs w:val="20"/>
              </w:rPr>
              <w:t xml:space="preserve">09:45 </w:t>
            </w:r>
            <w:r>
              <w:rPr>
                <w:rFonts w:ascii="Arial" w:cs="Arial" w:eastAsia="Arial" w:hAnsi="Arial"/>
                <w:sz w:val="20"/>
                <w:szCs w:val="20"/>
              </w:rPr>
              <w:t xml:space="preserve">— Consultant calls Head of Unit (first knowledge of theft, but no confirmation of personal data)</w:t>
            </w:r>
          </w:p>
          <w:p>
            <w:pPr>
              <w:spacing w:after="60" w:line="276"/>
            </w:pPr>
            <w:r>
              <w:rPr>
                <w:rFonts w:ascii="Arial" w:cs="Arial" w:eastAsia="Arial" w:hAnsi="Arial"/>
                <w:b/>
                <w:bCs/>
                <w:sz w:val="20"/>
                <w:szCs w:val="20"/>
              </w:rPr>
              <w:t xml:space="preserve">10:00 </w:t>
            </w:r>
            <w:r>
              <w:rPr>
                <w:rFonts w:ascii="Arial" w:cs="Arial" w:eastAsia="Arial" w:hAnsi="Arial"/>
                <w:sz w:val="20"/>
                <w:szCs w:val="20"/>
              </w:rPr>
              <w:t xml:space="preserve">— Head of Unit informs IT Security (institutional knowledge, investigation begins)</w:t>
            </w:r>
          </w:p>
          <w:p>
            <w:pPr>
              <w:spacing w:after="60" w:line="276"/>
            </w:pPr>
            <w:r>
              <w:rPr>
                <w:rFonts w:ascii="Arial" w:cs="Arial" w:eastAsia="Arial" w:hAnsi="Arial"/>
                <w:b/>
                <w:bCs/>
                <w:sz w:val="20"/>
                <w:szCs w:val="20"/>
              </w:rPr>
              <w:t xml:space="preserve">10:30 </w:t>
            </w:r>
            <w:r>
              <w:rPr>
                <w:rFonts w:ascii="Arial" w:cs="Arial" w:eastAsia="Arial" w:hAnsi="Arial"/>
                <w:sz w:val="20"/>
                <w:szCs w:val="20"/>
              </w:rPr>
              <w:t xml:space="preserve">— IT confirms personal data was on the device (reasonable certainty of personal data compromise)</w:t>
            </w:r>
          </w:p>
          <w:p>
            <w:pPr>
              <w:spacing w:after="60" w:line="276"/>
            </w:pPr>
            <w:r>
              <w:rPr>
                <w:rFonts w:ascii="Arial" w:cs="Arial" w:eastAsia="Arial" w:hAnsi="Arial"/>
                <w:sz w:val="20"/>
                <w:szCs w:val="20"/>
              </w:rPr>
              <w:t xml:space="preserve">EDPS Guidelines: “awareness” = reasonable degree of certainty that personal data is compromised. Push teams to justify their answer with reference to this standard. Most defensible answer: 10:30 UTC.</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3: Remote Wipe as a Safety Net</w:t>
            </w:r>
          </w:p>
          <w:p>
            <w:pPr>
              <w:spacing w:after="60" w:line="276"/>
            </w:pPr>
            <w:r>
              <w:rPr>
                <w:rFonts w:ascii="Arial" w:cs="Arial" w:eastAsia="Arial" w:hAnsi="Arial"/>
                <w:sz w:val="20"/>
                <w:szCs w:val="20"/>
              </w:rPr>
              <w:t xml:space="preserve">Before the inject, teams may rely on the pending remote wipe as a safety net.</w:t>
            </w:r>
          </w:p>
          <w:p>
            <w:pPr>
              <w:spacing w:after="60" w:line="276"/>
            </w:pPr>
            <w:r>
              <w:rPr>
                <w:rFonts w:ascii="Arial" w:cs="Arial" w:eastAsia="Arial" w:hAnsi="Arial"/>
                <w:sz w:val="20"/>
                <w:szCs w:val="20"/>
              </w:rPr>
              <w:t xml:space="preserve">After the inject confirms the wipe has NOT executed, watch for teams that still cling to “it might connect later.”</w:t>
            </w:r>
          </w:p>
          <w:p>
            <w:pPr>
              <w:spacing w:after="60" w:line="276"/>
            </w:pPr>
            <w:r>
              <w:rPr>
                <w:rFonts w:ascii="Arial" w:cs="Arial" w:eastAsia="Arial" w:hAnsi="Arial"/>
                <w:sz w:val="20"/>
                <w:szCs w:val="20"/>
              </w:rPr>
              <w:t xml:space="preserve">Push them: How long do you wait? At what point does “pending” become “failed” for risk assessment purposes?</w:t>
            </w:r>
          </w:p>
          <w:p>
            <w:pPr>
              <w:spacing w:after="60" w:line="276"/>
            </w:pPr>
            <w:r>
              <w:rPr>
                <w:rFonts w:ascii="Arial" w:cs="Arial" w:eastAsia="Arial" w:hAnsi="Arial"/>
                <w:sz w:val="20"/>
                <w:szCs w:val="20"/>
              </w:rPr>
              <w:t xml:space="preserve">Real-world lesson: you cannot base a risk assessment on an outcome you hope for but cannot confirm.</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 Watch Point 4: Data Scope Creep After Inject</w:t>
            </w:r>
          </w:p>
          <w:p>
            <w:pPr>
              <w:spacing w:after="60" w:line="276"/>
            </w:pPr>
            <w:r>
              <w:rPr>
                <w:rFonts w:ascii="Arial" w:cs="Arial" w:eastAsia="Arial" w:hAnsi="Arial"/>
                <w:sz w:val="20"/>
                <w:szCs w:val="20"/>
              </w:rPr>
              <w:t xml:space="preserve">The inject reveals phone numbers were also in the dataset. This is designed to:</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Increase identifiability (phone number + name = easy to contact/target individuals)</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Show how data scope can expand during an investigation</w:t>
            </w:r>
          </w:p>
          <w:p>
            <w:pPr>
              <w:spacing w:after="60" w:line="276"/>
            </w:pPr>
            <w:r>
              <w:rPr>
                <w:rFonts w:ascii="Arial" w:cs="Arial" w:eastAsia="Arial" w:hAnsi="Arial"/>
                <w:b/>
                <w:bCs/>
                <w:sz w:val="20"/>
                <w:szCs w:val="20"/>
              </w:rPr>
              <w:t xml:space="preserve">• </w:t>
            </w:r>
            <w:r>
              <w:rPr>
                <w:rFonts w:ascii="Arial" w:cs="Arial" w:eastAsia="Arial" w:hAnsi="Arial"/>
                <w:sz w:val="20"/>
                <w:szCs w:val="20"/>
              </w:rPr>
              <w:t xml:space="preserve">Test whether teams update their assessment dynamically</w:t>
            </w:r>
          </w:p>
          <w:p>
            <w:pPr>
              <w:spacing w:after="60" w:line="276"/>
            </w:pPr>
            <w:r>
              <w:rPr>
                <w:rFonts w:ascii="Arial" w:cs="Arial" w:eastAsia="Arial" w:hAnsi="Arial"/>
                <w:sz w:val="20"/>
                <w:szCs w:val="20"/>
              </w:rPr>
              <w:t xml:space="preserve">Teams that had concluded “Unlikely Risk” should reconsider after the inject.</w:t>
            </w:r>
          </w:p>
        </w:tc>
      </w:tr>
    </w:tbl>
    <w:p>
      <w:pPr>
        <w:pStyle w:val="Heading2"/>
        <w:spacing w:before="280" w:after="160"/>
      </w:pPr>
      <w:r>
        <w:rPr>
          <w:rFonts w:ascii="Arial" w:cs="Arial" w:eastAsia="Arial" w:hAnsi="Arial"/>
          <w:b/>
          <w:bCs/>
          <w:color w:val="2E75B6"/>
          <w:sz w:val="26"/>
          <w:szCs w:val="26"/>
        </w:rPr>
        <w:t xml:space="preserve">A.4 Inject Card Instructions</w:t>
      </w:r>
    </w:p>
    <w:p>
      <w:pPr>
        <w:spacing w:after="120" w:line="276"/>
      </w:pPr>
      <w:r>
        <w:rPr>
          <w:rFonts w:ascii="Arial" w:cs="Arial" w:eastAsia="Arial" w:hAnsi="Arial"/>
          <w:b/>
          <w:bCs/>
          <w:sz w:val="22"/>
          <w:szCs w:val="22"/>
        </w:rPr>
        <w:t xml:space="preserve">When: </w:t>
      </w:r>
      <w:r>
        <w:rPr>
          <w:rFonts w:ascii="Arial" w:cs="Arial" w:eastAsia="Arial" w:hAnsi="Arial"/>
          <w:sz w:val="22"/>
          <w:szCs w:val="22"/>
        </w:rPr>
        <w:t xml:space="preserve">Exactly 15 minutes after teams begin working (T+0:15).</w:t>
      </w:r>
    </w:p>
    <w:p>
      <w:pPr>
        <w:spacing w:after="120" w:line="276"/>
      </w:pPr>
      <w:r>
        <w:rPr>
          <w:rFonts w:ascii="Arial" w:cs="Arial" w:eastAsia="Arial" w:hAnsi="Arial"/>
          <w:b/>
          <w:bCs/>
          <w:sz w:val="22"/>
          <w:szCs w:val="22"/>
        </w:rPr>
        <w:t xml:space="preserve">How: </w:t>
      </w:r>
      <w:r>
        <w:rPr>
          <w:rFonts w:ascii="Arial" w:cs="Arial" w:eastAsia="Arial" w:hAnsi="Arial"/>
          <w:sz w:val="22"/>
          <w:szCs w:val="22"/>
        </w:rPr>
        <w:t xml:space="preserve">Hand one Inject Card (Part D) to each team. Read the inject aloud to the room. Say: “Your IT Security team has provided an update. Please read the card and consider whether this changes your assessment.”</w:t>
      </w:r>
    </w:p>
    <w:p>
      <w:pPr>
        <w:spacing w:after="120" w:line="276"/>
      </w:pPr>
      <w:r>
        <w:rPr>
          <w:rFonts w:ascii="Arial" w:cs="Arial" w:eastAsia="Arial" w:hAnsi="Arial"/>
          <w:b/>
          <w:bCs/>
          <w:sz w:val="22"/>
          <w:szCs w:val="22"/>
        </w:rPr>
        <w:t xml:space="preserve">Then: </w:t>
      </w:r>
      <w:r>
        <w:rPr>
          <w:rFonts w:ascii="Arial" w:cs="Arial" w:eastAsia="Arial" w:hAnsi="Arial"/>
          <w:sz w:val="22"/>
          <w:szCs w:val="22"/>
        </w:rPr>
        <w:t xml:space="preserve">Give teams 2 minutes to absorb, then resume work on Blocks 2 and 3. Teams should incorporate the new information into their risk assessment.</w:t>
      </w:r>
    </w:p>
    <w:p>
      <w:pPr>
        <w:pStyle w:val="Heading2"/>
        <w:spacing w:before="280" w:after="160"/>
      </w:pPr>
      <w:r>
        <w:rPr>
          <w:rFonts w:ascii="Arial" w:cs="Arial" w:eastAsia="Arial" w:hAnsi="Arial"/>
          <w:b/>
          <w:bCs/>
          <w:color w:val="2E75B6"/>
          <w:sz w:val="26"/>
          <w:szCs w:val="26"/>
        </w:rPr>
        <w:t xml:space="preserve">A.5 Debrief Extension Questions (Plenary Only)</w:t>
      </w:r>
    </w:p>
    <w:p>
      <w:pPr>
        <w:spacing w:after="120" w:line="276"/>
      </w:pPr>
      <w:r>
        <w:rPr>
          <w:rFonts w:ascii="Arial" w:cs="Arial" w:eastAsia="Arial" w:hAnsi="Arial"/>
          <w:i/>
          <w:iCs/>
          <w:sz w:val="22"/>
          <w:szCs w:val="22"/>
        </w:rPr>
        <w:t xml:space="preserve">Use these only if time permits during the plenary discussion. They extend the scenario into related areas.</w:t>
      </w:r>
    </w:p>
    <w:p>
      <w:pPr>
        <w:spacing w:after="120" w:line="276"/>
      </w:pPr>
      <w:r>
        <w:rPr>
          <w:rFonts w:ascii="Arial" w:cs="Arial" w:eastAsia="Arial" w:hAnsi="Arial"/>
          <w:b/>
          <w:bCs/>
          <w:sz w:val="22"/>
          <w:szCs w:val="22"/>
        </w:rPr>
        <w:t xml:space="preserve">Extension 1 — Unencrypted Data: </w:t>
      </w:r>
      <w:r>
        <w:rPr>
          <w:rFonts w:ascii="Arial" w:cs="Arial" w:eastAsia="Arial" w:hAnsi="Arial"/>
          <w:sz w:val="22"/>
          <w:szCs w:val="22"/>
        </w:rPr>
        <w:t xml:space="preserve">“If the laptop had contained unencrypted personal data, how would this change your assessment? Would this constitute High Risk?”</w:t>
      </w:r>
    </w:p>
    <w:p>
      <w:pPr>
        <w:spacing w:after="120" w:line="276"/>
      </w:pPr>
      <w:r>
        <w:rPr>
          <w:rFonts w:ascii="Arial" w:cs="Arial" w:eastAsia="Arial" w:hAnsi="Arial"/>
          <w:i/>
          <w:iCs/>
          <w:sz w:val="20"/>
          <w:szCs w:val="20"/>
        </w:rPr>
        <w:t xml:space="preserve">Expected: Yes, unencrypted data + theft = near-certain High Risk. The encryption is the primary mitigating factor in the original scenario.</w:t>
      </w:r>
    </w:p>
    <w:p>
      <w:pPr>
        <w:spacing w:after="120" w:line="276"/>
      </w:pPr>
      <w:r>
        <w:rPr>
          <w:rFonts w:ascii="Arial" w:cs="Arial" w:eastAsia="Arial" w:hAnsi="Arial"/>
          <w:b/>
          <w:bCs/>
          <w:sz w:val="22"/>
          <w:szCs w:val="22"/>
        </w:rPr>
        <w:t xml:space="preserve">Extension 2 — No Backups: </w:t>
      </w:r>
      <w:r>
        <w:rPr>
          <w:rFonts w:ascii="Arial" w:cs="Arial" w:eastAsia="Arial" w:hAnsi="Arial"/>
          <w:sz w:val="22"/>
          <w:szCs w:val="22"/>
        </w:rPr>
        <w:t xml:space="preserve">“If the laptop was the sole copy of the data (no backups existed), what additional type of breach would this represent?”</w:t>
      </w:r>
    </w:p>
    <w:p>
      <w:pPr>
        <w:spacing w:after="120" w:line="276"/>
      </w:pPr>
      <w:r>
        <w:rPr>
          <w:rFonts w:ascii="Arial" w:cs="Arial" w:eastAsia="Arial" w:hAnsi="Arial"/>
          <w:i/>
          <w:iCs/>
          <w:sz w:val="20"/>
          <w:szCs w:val="20"/>
        </w:rPr>
        <w:t xml:space="preserve">Expected: Availability breach in addition to the confidentiality breach. This would increase severity significantly.</w:t>
      </w:r>
    </w:p>
    <w:p>
      <w:pPr>
        <w:spacing w:after="120" w:line="276"/>
      </w:pPr>
      <w:r>
        <w:rPr>
          <w:rFonts w:ascii="Arial" w:cs="Arial" w:eastAsia="Arial" w:hAnsi="Arial"/>
          <w:b/>
          <w:bCs/>
          <w:sz w:val="22"/>
          <w:szCs w:val="22"/>
        </w:rPr>
        <w:t xml:space="preserve">Extension 3 — Ransomware Alternative: </w:t>
      </w:r>
      <w:r>
        <w:rPr>
          <w:rFonts w:ascii="Arial" w:cs="Arial" w:eastAsia="Arial" w:hAnsi="Arial"/>
          <w:sz w:val="22"/>
          <w:szCs w:val="22"/>
        </w:rPr>
        <w:t xml:space="preserve">“Imagine instead of a theft, EU Connect suffered a ransomware attack on its internal servers. (a) Could this be an availability breach? (b) If data is encrypted by the attacker with no backups, would this be High Risk? (c) Could it also involve a confidentiality breach?”</w:t>
      </w:r>
    </w:p>
    <w:p>
      <w:pPr>
        <w:spacing w:after="120" w:line="276"/>
      </w:pPr>
      <w:r>
        <w:rPr>
          <w:rFonts w:ascii="Arial" w:cs="Arial" w:eastAsia="Arial" w:hAnsi="Arial"/>
          <w:i/>
          <w:iCs/>
          <w:sz w:val="20"/>
          <w:szCs w:val="20"/>
        </w:rPr>
        <w:t xml:space="preserve">Expected: (a) Yes, availability breach. (b) Almost certainly High Risk. (c) Yes, if the attacker exfiltrated data before encrypting — which is increasingly common in modern ransomware.</w:t>
      </w:r>
    </w:p>
    <w:p>
      <w:r>
        <w:br w:type="page"/>
      </w:r>
    </w:p>
    <w:p>
      <w:pPr>
        <w:pBdr>
          <w:bottom w:val="single" w:color="2E75B6" w:sz="4" w:space="4"/>
        </w:pBdr>
        <w:spacing w:before="200" w:after="200"/>
        <w:jc w:val="center"/>
      </w:pPr>
      <w:r>
        <w:rPr>
          <w:rFonts w:ascii="Arial" w:cs="Arial" w:eastAsia="Arial" w:hAnsi="Arial"/>
          <w:b/>
          <w:bCs/>
          <w:color w:val="1F3864"/>
          <w:sz w:val="32"/>
          <w:szCs w:val="32"/>
        </w:rPr>
        <w:t xml:space="preserve">PART B: PARTICIPANT BRIEFING</w:t>
      </w:r>
    </w:p>
    <w:p>
      <w:pPr>
        <w:spacing w:after="120" w:line="276"/>
      </w:pPr>
      <w:r>
        <w:rPr>
          <w:rFonts w:ascii="Arial" w:cs="Arial" w:eastAsia="Arial" w:hAnsi="Arial"/>
          <w:i/>
          <w:iCs/>
          <w:sz w:val="22"/>
          <w:szCs w:val="22"/>
        </w:rPr>
        <w:t xml:space="preserve">Scenario 1: The Encrypted Gateway (Stolen Laptop) — Distribute to all participants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
              <w:bottom w:val="single" w:color="2E75B6" w:sz="1"/>
              <w:right w:val="single" w:color="2E75B6" w:sz="1"/>
            </w:tcBorders>
            <w:shd w:fill="EBF2FA" w:val="clear"/>
            <w:tcMar>
              <w:top w:type="dxa" w:w="120"/>
              <w:left w:type="dxa" w:w="160"/>
              <w:bottom w:type="dxa" w:w="120"/>
              <w:right w:type="dxa" w:w="160"/>
            </w:tcMar>
          </w:tcPr>
          <w:p>
            <w:pPr>
              <w:spacing w:after="80"/>
            </w:pPr>
            <w:r>
              <w:rPr>
                <w:rFonts w:ascii="Arial" w:cs="Arial" w:eastAsia="Arial" w:hAnsi="Arial"/>
                <w:b/>
                <w:bCs/>
                <w:color w:val="1F3864"/>
                <w:sz w:val="22"/>
                <w:szCs w:val="22"/>
              </w:rPr>
              <w:t xml:space="preserve">Scenario Objective</w:t>
            </w:r>
          </w:p>
          <w:p>
            <w:pPr>
              <w:spacing w:after="60" w:line="276"/>
            </w:pPr>
            <w:r>
              <w:rPr>
                <w:rFonts w:ascii="Arial" w:cs="Arial" w:eastAsia="Arial" w:hAnsi="Arial"/>
                <w:sz w:val="20"/>
                <w:szCs w:val="20"/>
              </w:rPr>
              <w:t xml:space="preserve">You will analyse a personal data breach incident that is ambiguous between “unlikely risk” and “risk” to data subjects.</w:t>
            </w:r>
          </w:p>
          <w:p>
            <w:pPr>
              <w:spacing w:after="60" w:line="276"/>
            </w:pPr>
            <w:r>
              <w:rPr>
                <w:rFonts w:ascii="Arial" w:cs="Arial" w:eastAsia="Arial" w:hAnsi="Arial"/>
                <w:sz w:val="20"/>
                <w:szCs w:val="20"/>
              </w:rPr>
              <w:t xml:space="preserve">You must critically evaluate the effectiveness of security measures, the role of contractual safeguards, and the threshold for EDPS notification.</w:t>
            </w:r>
          </w:p>
          <w:p>
            <w:pPr>
              <w:spacing w:after="60" w:line="276"/>
            </w:pPr>
            <w:r>
              <w:rPr>
                <w:rFonts w:ascii="Arial" w:cs="Arial" w:eastAsia="Arial" w:hAnsi="Arial"/>
                <w:sz w:val="20"/>
                <w:szCs w:val="20"/>
              </w:rPr>
              <w:t xml:space="preserve">Your team must reach a verdict and justify it with reference to EDPS guidelines.</w:t>
            </w:r>
          </w:p>
        </w:tc>
      </w:tr>
    </w:tbl>
    <w:p>
      <w:pPr>
        <w:spacing w:after="60"/>
      </w:pPr>
    </w:p>
    <w:p>
      <w:pPr>
        <w:pStyle w:val="Heading2"/>
        <w:spacing w:before="280" w:after="160"/>
      </w:pPr>
      <w:r>
        <w:rPr>
          <w:rFonts w:ascii="Arial" w:cs="Arial" w:eastAsia="Arial" w:hAnsi="Arial"/>
          <w:b/>
          <w:bCs/>
          <w:color w:val="2E75B6"/>
          <w:sz w:val="26"/>
          <w:szCs w:val="26"/>
        </w:rPr>
        <w:t xml:space="preserve">B.1 Context: EU Connect</w:t>
      </w:r>
    </w:p>
    <w:p>
      <w:pPr>
        <w:spacing w:after="120" w:line="276"/>
      </w:pPr>
      <w:r>
        <w:rPr>
          <w:rFonts w:ascii="Arial" w:cs="Arial" w:eastAsia="Arial" w:hAnsi="Arial"/>
          <w:sz w:val="22"/>
          <w:szCs w:val="22"/>
        </w:rPr>
        <w:t xml:space="preserve">Your European Union Institution, Body, or Agency (EUIBA), referred to as “EU Connect,” operates under </w:t>
      </w:r>
      <w:r>
        <w:rPr>
          <w:rFonts w:ascii="Arial" w:cs="Arial" w:eastAsia="Arial" w:hAnsi="Arial"/>
          <w:b/>
          <w:bCs/>
          <w:sz w:val="22"/>
          <w:szCs w:val="22"/>
        </w:rPr>
        <w:t xml:space="preserve">Regulation (EU) 2018/1725 (EUDPR)</w:t>
      </w:r>
      <w:r>
        <w:rPr>
          <w:rFonts w:ascii="Arial" w:cs="Arial" w:eastAsia="Arial" w:hAnsi="Arial"/>
          <w:sz w:val="22"/>
          <w:szCs w:val="22"/>
        </w:rPr>
        <w:t xml:space="preserve"> and </w:t>
      </w:r>
      <w:r>
        <w:rPr>
          <w:rFonts w:ascii="Arial" w:cs="Arial" w:eastAsia="Arial" w:hAnsi="Arial"/>
          <w:b/>
          <w:bCs/>
          <w:sz w:val="22"/>
          <w:szCs w:val="22"/>
        </w:rPr>
        <w:t xml:space="preserve">Regulation (EU, Euratom) 2023/2841 (Cybersecurity Regulation)</w:t>
      </w:r>
      <w:r>
        <w:rPr>
          <w:rFonts w:ascii="Arial" w:cs="Arial" w:eastAsia="Arial" w:hAnsi="Arial"/>
          <w:sz w:val="22"/>
          <w:szCs w:val="22"/>
        </w:rPr>
        <w:t xml:space="preserve">. EU Connect has well-defined internal IT security procedures, a Data Protection Officer (DPO), a Local Cybersecurity Officer (LCO), and an established internal incident response procedure.</w:t>
      </w:r>
    </w:p>
    <w:p>
      <w:pPr>
        <w:spacing w:after="120" w:line="276"/>
      </w:pPr>
      <w:r>
        <w:rPr>
          <w:rFonts w:ascii="Arial" w:cs="Arial" w:eastAsia="Arial" w:hAnsi="Arial"/>
          <w:sz w:val="22"/>
          <w:szCs w:val="22"/>
        </w:rPr>
        <w:t xml:space="preserve">EU Connect uses external consultants for certain projects. All consultants operate under a service contract that includes a </w:t>
      </w:r>
      <w:r>
        <w:rPr>
          <w:rFonts w:ascii="Arial" w:cs="Arial" w:eastAsia="Arial" w:hAnsi="Arial"/>
          <w:b/>
          <w:bCs/>
          <w:sz w:val="22"/>
          <w:szCs w:val="22"/>
        </w:rPr>
        <w:t xml:space="preserve">Data Processing Agreement (DPA)</w:t>
      </w:r>
      <w:r>
        <w:rPr>
          <w:rFonts w:ascii="Arial" w:cs="Arial" w:eastAsia="Arial" w:hAnsi="Arial"/>
          <w:sz w:val="22"/>
          <w:szCs w:val="22"/>
        </w:rPr>
        <w:t xml:space="preserve"> pursuant to Article 29 EUDPR. The standard DPA requires:</w:t>
      </w:r>
    </w:p>
    <w:p>
      <w:pPr>
        <w:pStyle w:val="ListParagraph"/>
        <w:numPr>
          <w:ilvl w:val="0"/>
          <w:numId w:val="2"/>
        </w:numPr>
        <w:spacing w:after="60" w:line="276"/>
      </w:pPr>
      <w:r>
        <w:rPr>
          <w:rFonts w:ascii="Arial" w:cs="Arial" w:eastAsia="Arial" w:hAnsi="Arial"/>
          <w:sz w:val="20"/>
          <w:szCs w:val="20"/>
        </w:rPr>
        <w:t xml:space="preserve">(a) Full-disk encryption on any device used to access or store EU Connect data.</w:t>
      </w:r>
    </w:p>
    <w:p>
      <w:pPr>
        <w:pStyle w:val="ListParagraph"/>
        <w:numPr>
          <w:ilvl w:val="0"/>
          <w:numId w:val="2"/>
        </w:numPr>
        <w:spacing w:after="60" w:line="276"/>
      </w:pPr>
      <w:r>
        <w:rPr>
          <w:rFonts w:ascii="Arial" w:cs="Arial" w:eastAsia="Arial" w:hAnsi="Arial"/>
          <w:sz w:val="20"/>
          <w:szCs w:val="20"/>
        </w:rPr>
        <w:t xml:space="preserve">(b) Use of EU Connect’s Virtual Private Network (VPN) for remote system access.</w:t>
      </w:r>
    </w:p>
    <w:p>
      <w:pPr>
        <w:pStyle w:val="ListParagraph"/>
        <w:numPr>
          <w:ilvl w:val="0"/>
          <w:numId w:val="2"/>
        </w:numPr>
        <w:spacing w:after="60" w:line="276"/>
      </w:pPr>
      <w:r>
        <w:rPr>
          <w:rFonts w:ascii="Arial" w:cs="Arial" w:eastAsia="Arial" w:hAnsi="Arial"/>
          <w:sz w:val="20"/>
          <w:szCs w:val="20"/>
        </w:rPr>
        <w:t xml:space="preserve">(c) Personal data not stored locally on personal devices beyond what is strictly necessary for the task.</w:t>
      </w:r>
    </w:p>
    <w:p>
      <w:pPr>
        <w:pStyle w:val="ListParagraph"/>
        <w:numPr>
          <w:ilvl w:val="0"/>
          <w:numId w:val="2"/>
        </w:numPr>
        <w:spacing w:after="60" w:line="276"/>
      </w:pPr>
      <w:r>
        <w:rPr>
          <w:rFonts w:ascii="Arial" w:cs="Arial" w:eastAsia="Arial" w:hAnsi="Arial"/>
          <w:sz w:val="20"/>
          <w:szCs w:val="20"/>
        </w:rPr>
        <w:t xml:space="preserve">(d) Immediate notification to the EU Connect IT Security team of any security incident involving EU Connect data.</w:t>
      </w:r>
    </w:p>
    <w:p>
      <w:pPr>
        <w:pStyle w:val="Heading2"/>
        <w:spacing w:before="280" w:after="160"/>
      </w:pPr>
      <w:r>
        <w:rPr>
          <w:rFonts w:ascii="Arial" w:cs="Arial" w:eastAsia="Arial" w:hAnsi="Arial"/>
          <w:b/>
          <w:bCs/>
          <w:color w:val="2E75B6"/>
          <w:sz w:val="26"/>
          <w:szCs w:val="26"/>
        </w:rPr>
        <w:t xml:space="preserve">B.2 Incident Description</w:t>
      </w:r>
    </w:p>
    <w:p>
      <w:pPr>
        <w:spacing w:after="120" w:line="276"/>
      </w:pPr>
      <w:r>
        <w:rPr>
          <w:rFonts w:ascii="Arial" w:cs="Arial" w:eastAsia="Arial" w:hAnsi="Arial"/>
          <w:b/>
          <w:bCs/>
          <w:sz w:val="22"/>
          <w:szCs w:val="22"/>
        </w:rPr>
        <w:t xml:space="preserve">Incident Timeline: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Timestamp</w:t>
            </w:r>
          </w:p>
        </w:tc>
        <w:tc>
          <w:tcPr>
            <w:tcW w:type="dxa" w:w="7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Event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08:15 UTC</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 external consultant (a contractor, not EU Connect staff) who works remotely discovers that their personal laptop was stolen from their locked home office overnight during a burglary. The consultant has filed a police report.</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Day 1, 09:45 UTC</w:t>
            </w:r>
          </w:p>
        </w:tc>
        <w:tc>
          <w:tcPr>
            <w:tcW w:type="dxa" w:w="7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consultant calls the Head of Unit for the “UnionGate” project to report the theft. The consultant is distraught but emphasises the laptop was locked and encrypted.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 1, 10:00 UTC</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Head of Unit informs the IT Security team.</w:t>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Day 1, 10:30 UTC</w:t>
            </w:r>
          </w:p>
        </w:tc>
        <w:tc>
          <w:tcPr>
            <w:tcW w:type="dxa" w:w="7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The IT Security team’s initial technical assessment is available (see below).</w:t>
            </w:r>
          </w:p>
        </w:tc>
      </w:tr>
    </w:tbl>
    <w:p>
      <w:pPr>
        <w:pStyle w:val="Heading2"/>
        <w:spacing w:before="280" w:after="160"/>
      </w:pPr>
      <w:r>
        <w:rPr>
          <w:rFonts w:ascii="Arial" w:cs="Arial" w:eastAsia="Arial" w:hAnsi="Arial"/>
          <w:b/>
          <w:bCs/>
          <w:color w:val="2E75B6"/>
          <w:sz w:val="26"/>
          <w:szCs w:val="26"/>
        </w:rPr>
        <w:t xml:space="preserve">B.3 Initial Technical Findings (Day 1, 10:30 UTC)</w:t>
      </w:r>
    </w:p>
    <w:p>
      <w:pPr>
        <w:pStyle w:val="Heading3"/>
        <w:spacing w:before="200" w:after="120"/>
      </w:pPr>
      <w:r>
        <w:rPr>
          <w:rFonts w:ascii="Arial" w:cs="Arial" w:eastAsia="Arial" w:hAnsi="Arial"/>
          <w:b/>
          <w:bCs/>
          <w:color w:val="2E75B6"/>
          <w:sz w:val="24"/>
          <w:szCs w:val="24"/>
        </w:rPr>
        <w:t xml:space="preserve">Device Security</w:t>
      </w:r>
    </w:p>
    <w:p>
      <w:pPr>
        <w:spacing w:after="120" w:line="276"/>
      </w:pPr>
      <w:r>
        <w:rPr>
          <w:rFonts w:ascii="Arial" w:cs="Arial" w:eastAsia="Arial" w:hAnsi="Arial"/>
          <w:sz w:val="22"/>
          <w:szCs w:val="22"/>
        </w:rPr>
        <w:t xml:space="preserve">The consultant confirms the laptop had </w:t>
      </w:r>
      <w:r>
        <w:rPr>
          <w:rFonts w:ascii="Arial" w:cs="Arial" w:eastAsia="Arial" w:hAnsi="Arial"/>
          <w:b/>
          <w:bCs/>
          <w:sz w:val="22"/>
          <w:szCs w:val="22"/>
        </w:rPr>
        <w:t xml:space="preserve">full-disk encryption (BitLocker)</w:t>
      </w:r>
      <w:r>
        <w:rPr>
          <w:rFonts w:ascii="Arial" w:cs="Arial" w:eastAsia="Arial" w:hAnsi="Arial"/>
          <w:sz w:val="22"/>
          <w:szCs w:val="22"/>
        </w:rPr>
        <w:t xml:space="preserve"> enabled — a mandatory security measure under the DPA. They state they used a </w:t>
      </w:r>
      <w:r>
        <w:rPr>
          <w:rFonts w:ascii="Arial" w:cs="Arial" w:eastAsia="Arial" w:hAnsi="Arial"/>
          <w:b/>
          <w:bCs/>
          <w:sz w:val="22"/>
          <w:szCs w:val="22"/>
        </w:rPr>
        <w:t xml:space="preserve">strong, unique passphrase</w:t>
      </w:r>
      <w:r>
        <w:rPr>
          <w:rFonts w:ascii="Arial" w:cs="Arial" w:eastAsia="Arial" w:hAnsi="Arial"/>
          <w:sz w:val="22"/>
          <w:szCs w:val="22"/>
        </w:rPr>
        <w:t xml:space="preserve"> (20+ characters, mixed case/numbers/symbols, not a dictionary word, not reused from other services).</w:t>
      </w:r>
    </w:p>
    <w:p>
      <w:pPr>
        <w:spacing w:after="120" w:line="276"/>
      </w:pPr>
      <w:r>
        <w:rPr>
          <w:rFonts w:ascii="Arial" w:cs="Arial" w:eastAsia="Arial" w:hAnsi="Arial"/>
          <w:sz w:val="22"/>
          <w:szCs w:val="22"/>
        </w:rPr>
        <w:t xml:space="preserve">The EU Connect IT Security team immediately initiates a </w:t>
      </w:r>
      <w:r>
        <w:rPr>
          <w:rFonts w:ascii="Arial" w:cs="Arial" w:eastAsia="Arial" w:hAnsi="Arial"/>
          <w:b/>
          <w:bCs/>
          <w:sz w:val="22"/>
          <w:szCs w:val="22"/>
        </w:rPr>
        <w:t xml:space="preserve">remote wipe command</w:t>
      </w:r>
      <w:r>
        <w:rPr>
          <w:rFonts w:ascii="Arial" w:cs="Arial" w:eastAsia="Arial" w:hAnsi="Arial"/>
          <w:sz w:val="22"/>
          <w:szCs w:val="22"/>
        </w:rPr>
        <w:t xml:space="preserve"> via the Mobile Device Management (MDM) platform. The command is confirmed as “sent” by the management software. The status of “successful execution” is </w:t>
      </w:r>
      <w:r>
        <w:rPr>
          <w:rFonts w:ascii="Arial" w:cs="Arial" w:eastAsia="Arial" w:hAnsi="Arial"/>
          <w:b/>
          <w:bCs/>
          <w:sz w:val="22"/>
          <w:szCs w:val="22"/>
        </w:rPr>
        <w:t xml:space="preserve">pending</w:t>
      </w:r>
      <w:r>
        <w:rPr>
          <w:rFonts w:ascii="Arial" w:cs="Arial" w:eastAsia="Arial" w:hAnsi="Arial"/>
          <w:sz w:val="22"/>
          <w:szCs w:val="22"/>
        </w:rPr>
        <w:t xml:space="preserve"> — it requires the device to connect to the internet, which it has not done since the theft.</w:t>
      </w:r>
    </w:p>
    <w:p>
      <w:pPr>
        <w:pStyle w:val="Heading3"/>
        <w:spacing w:before="200" w:after="120"/>
      </w:pPr>
      <w:r>
        <w:rPr>
          <w:rFonts w:ascii="Arial" w:cs="Arial" w:eastAsia="Arial" w:hAnsi="Arial"/>
          <w:b/>
          <w:bCs/>
          <w:color w:val="2E75B6"/>
          <w:sz w:val="24"/>
          <w:szCs w:val="24"/>
        </w:rPr>
        <w:t xml:space="preserve">Data Involved</w:t>
      </w:r>
    </w:p>
    <w:p>
      <w:pPr>
        <w:spacing w:after="120" w:line="276"/>
      </w:pPr>
      <w:r>
        <w:rPr>
          <w:rFonts w:ascii="Arial" w:cs="Arial" w:eastAsia="Arial" w:hAnsi="Arial"/>
          <w:sz w:val="22"/>
          <w:szCs w:val="22"/>
        </w:rPr>
        <w:t xml:space="preserve">The laptop contained a local copy of a project dataset from the “UnionGate” platform. This dataset consists of:</w:t>
      </w:r>
    </w:p>
    <w:p>
      <w:pPr>
        <w:pStyle w:val="ListParagraph"/>
        <w:numPr>
          <w:ilvl w:val="0"/>
          <w:numId w:val="2"/>
        </w:numPr>
        <w:spacing w:after="60" w:line="276"/>
      </w:pPr>
      <w:r>
        <w:rPr>
          <w:rFonts w:ascii="Arial" w:cs="Arial" w:eastAsia="Arial" w:hAnsi="Arial"/>
          <w:sz w:val="20"/>
          <w:szCs w:val="20"/>
        </w:rPr>
        <w:t xml:space="preserve">Names, professional email addresses, and institutional affiliations of approximately 150 external experts involved in an EU Connect-hosted workshop.</w:t>
      </w:r>
    </w:p>
    <w:p>
      <w:pPr>
        <w:pStyle w:val="ListParagraph"/>
        <w:numPr>
          <w:ilvl w:val="0"/>
          <w:numId w:val="2"/>
        </w:numPr>
        <w:spacing w:after="60" w:line="276"/>
      </w:pPr>
      <w:r>
        <w:rPr>
          <w:rFonts w:ascii="Arial" w:cs="Arial" w:eastAsia="Arial" w:hAnsi="Arial"/>
          <w:sz w:val="20"/>
          <w:szCs w:val="20"/>
        </w:rPr>
        <w:t xml:space="preserve">The data is classified as personal data but does NOT include special categories of personal data (e.g., health data, financial data, or national ID numbers).</w:t>
      </w:r>
    </w:p>
    <w:p>
      <w:pPr>
        <w:pStyle w:val="ListParagraph"/>
        <w:numPr>
          <w:ilvl w:val="0"/>
          <w:numId w:val="2"/>
        </w:numPr>
        <w:spacing w:after="60" w:line="276"/>
      </w:pPr>
      <w:r>
        <w:rPr>
          <w:rFonts w:ascii="Arial" w:cs="Arial" w:eastAsia="Arial" w:hAnsi="Arial"/>
          <w:sz w:val="20"/>
          <w:szCs w:val="20"/>
        </w:rPr>
        <w:t xml:space="preserve">The consultant downloaded the dataset 10 days ago to prepare name badges. The workshop took place 5 days ago. The dataset had not yet been deleted from the laptop.</w:t>
      </w:r>
    </w:p>
    <w:p>
      <w:pPr>
        <w:pStyle w:val="ListParagraph"/>
        <w:numPr>
          <w:ilvl w:val="0"/>
          <w:numId w:val="2"/>
        </w:numPr>
        <w:spacing w:after="60" w:line="276"/>
      </w:pPr>
      <w:r>
        <w:rPr>
          <w:rFonts w:ascii="Arial" w:cs="Arial" w:eastAsia="Arial" w:hAnsi="Arial"/>
          <w:sz w:val="20"/>
          <w:szCs w:val="20"/>
        </w:rPr>
        <w:t xml:space="preserve">The DPA permits temporary local storage for specific, justified tasks, but requires deletion within 30 days of task completion.</w:t>
      </w:r>
    </w:p>
    <w:p>
      <w:pPr>
        <w:pStyle w:val="Heading3"/>
        <w:spacing w:before="200" w:after="120"/>
      </w:pPr>
      <w:r>
        <w:rPr>
          <w:rFonts w:ascii="Arial" w:cs="Arial" w:eastAsia="Arial" w:hAnsi="Arial"/>
          <w:b/>
          <w:bCs/>
          <w:color w:val="2E75B6"/>
          <w:sz w:val="24"/>
          <w:szCs w:val="24"/>
        </w:rPr>
        <w:t xml:space="preserve">Availability &amp; Backups</w:t>
      </w:r>
    </w:p>
    <w:p>
      <w:pPr>
        <w:spacing w:after="120" w:line="276"/>
      </w:pPr>
      <w:r>
        <w:rPr>
          <w:rFonts w:ascii="Arial" w:cs="Arial" w:eastAsia="Arial" w:hAnsi="Arial"/>
          <w:sz w:val="22"/>
          <w:szCs w:val="22"/>
        </w:rPr>
        <w:t xml:space="preserve">EU Connect maintains up-to-date backups of all project data on its internal, secured servers. The data is </w:t>
      </w:r>
      <w:r>
        <w:rPr>
          <w:rFonts w:ascii="Arial" w:cs="Arial" w:eastAsia="Arial" w:hAnsi="Arial"/>
          <w:b/>
          <w:bCs/>
          <w:sz w:val="22"/>
          <w:szCs w:val="22"/>
        </w:rPr>
        <w:t xml:space="preserve">not permanently lost</w:t>
      </w:r>
      <w:r>
        <w:rPr>
          <w:rFonts w:ascii="Arial" w:cs="Arial" w:eastAsia="Arial" w:hAnsi="Arial"/>
          <w:sz w:val="22"/>
          <w:szCs w:val="22"/>
        </w:rPr>
        <w:t xml:space="preserve"> to EU Connect (no permanent availability breach for the controller).</w:t>
      </w:r>
    </w:p>
    <w:p>
      <w:pPr>
        <w:pStyle w:val="Heading3"/>
        <w:spacing w:before="200" w:after="120"/>
      </w:pPr>
      <w:r>
        <w:rPr>
          <w:rFonts w:ascii="Arial" w:cs="Arial" w:eastAsia="Arial" w:hAnsi="Arial"/>
          <w:b/>
          <w:bCs/>
          <w:color w:val="2E75B6"/>
          <w:sz w:val="24"/>
          <w:szCs w:val="24"/>
        </w:rPr>
        <w:t xml:space="preserve">Threat Assessment</w:t>
      </w:r>
    </w:p>
    <w:p>
      <w:pPr>
        <w:pStyle w:val="ListParagraph"/>
        <w:numPr>
          <w:ilvl w:val="0"/>
          <w:numId w:val="2"/>
        </w:numPr>
        <w:spacing w:after="60" w:line="276"/>
      </w:pPr>
      <w:r>
        <w:rPr>
          <w:rFonts w:ascii="Arial" w:cs="Arial" w:eastAsia="Arial" w:hAnsi="Arial"/>
          <w:sz w:val="20"/>
          <w:szCs w:val="20"/>
        </w:rPr>
        <w:t xml:space="preserve">No immediate evidence or indication that the consultant’s passphrase has been compromised.</w:t>
      </w:r>
    </w:p>
    <w:p>
      <w:pPr>
        <w:pStyle w:val="ListParagraph"/>
        <w:numPr>
          <w:ilvl w:val="0"/>
          <w:numId w:val="2"/>
        </w:numPr>
        <w:spacing w:after="60" w:line="276"/>
      </w:pPr>
      <w:r>
        <w:rPr>
          <w:rFonts w:ascii="Arial" w:cs="Arial" w:eastAsia="Arial" w:hAnsi="Arial"/>
          <w:sz w:val="20"/>
          <w:szCs w:val="20"/>
        </w:rPr>
        <w:t xml:space="preserve">No known exploited vulnerabilities in the specific BitLocker implementation on the stolen laptop’s OS version.</w:t>
      </w:r>
    </w:p>
    <w:p>
      <w:pPr>
        <w:pStyle w:val="ListParagraph"/>
        <w:numPr>
          <w:ilvl w:val="0"/>
          <w:numId w:val="2"/>
        </w:numPr>
        <w:spacing w:after="60" w:line="276"/>
      </w:pPr>
      <w:r>
        <w:rPr>
          <w:rFonts w:ascii="Arial" w:cs="Arial" w:eastAsia="Arial" w:hAnsi="Arial"/>
          <w:sz w:val="20"/>
          <w:szCs w:val="20"/>
        </w:rPr>
        <w:t xml:space="preserve">The nature of the theft (burglary from a locked home office; other items including electronics were also taken) suggests opportunistic theft rather than a targeted cyber-attack.</w:t>
      </w:r>
    </w:p>
    <w:p>
      <w:pPr>
        <w:pStyle w:val="ListParagraph"/>
        <w:numPr>
          <w:ilvl w:val="0"/>
          <w:numId w:val="2"/>
        </w:numPr>
        <w:spacing w:after="60" w:line="276"/>
      </w:pPr>
      <w:r>
        <w:rPr>
          <w:rFonts w:ascii="Arial" w:cs="Arial" w:eastAsia="Arial" w:hAnsi="Arial"/>
          <w:sz w:val="20"/>
          <w:szCs w:val="20"/>
        </w:rPr>
        <w:t xml:space="preserve">The police report confirms forced entry through a window. No forensic evidence suggests the laptop was specifically targeted.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
              <w:bottom w:val="single" w:color="2E75B6" w:sz="1"/>
              <w:right w:val="single" w:color="2E75B6" w:sz="1"/>
            </w:tcBorders>
            <w:shd w:fill="EBF2FA" w:val="clear"/>
            <w:tcMar>
              <w:top w:type="dxa" w:w="120"/>
              <w:left w:type="dxa" w:w="160"/>
              <w:bottom w:type="dxa" w:w="120"/>
              <w:right w:type="dxa" w:w="160"/>
            </w:tcMar>
          </w:tcPr>
          <w:p>
            <w:pPr>
              <w:spacing w:after="80"/>
            </w:pPr>
            <w:r>
              <w:rPr>
                <w:rFonts w:ascii="Arial" w:cs="Arial" w:eastAsia="Arial" w:hAnsi="Arial"/>
                <w:b/>
                <w:bCs/>
                <w:color w:val="1F3864"/>
                <w:sz w:val="22"/>
                <w:szCs w:val="22"/>
              </w:rPr>
              <w:t xml:space="preserve">Key Factors Summary</w:t>
            </w:r>
          </w:p>
          <w:p>
            <w:pPr>
              <w:spacing w:after="60" w:line="276"/>
            </w:pPr>
            <w:r>
              <w:rPr>
                <w:rFonts w:ascii="Arial" w:cs="Arial" w:eastAsia="Arial" w:hAnsi="Arial"/>
                <w:b/>
                <w:bCs/>
                <w:sz w:val="20"/>
                <w:szCs w:val="20"/>
              </w:rPr>
              <w:t xml:space="preserve">Mitigating factors: </w:t>
            </w:r>
            <w:r>
              <w:rPr>
                <w:rFonts w:ascii="Arial" w:cs="Arial" w:eastAsia="Arial" w:hAnsi="Arial"/>
                <w:sz w:val="20"/>
                <w:szCs w:val="20"/>
              </w:rPr>
              <w:t xml:space="preserve">Full-disk encryption, strong passphrase, backups exist, opportunistic theft, non-sensitive data categories.</w:t>
            </w:r>
          </w:p>
          <w:p>
            <w:pPr>
              <w:spacing w:after="60" w:line="276"/>
            </w:pPr>
            <w:r>
              <w:rPr>
                <w:rFonts w:ascii="Arial" w:cs="Arial" w:eastAsia="Arial" w:hAnsi="Arial"/>
                <w:b/>
                <w:bCs/>
                <w:sz w:val="20"/>
                <w:szCs w:val="20"/>
              </w:rPr>
              <w:t xml:space="preserve">Aggravating factors: </w:t>
            </w:r>
            <w:r>
              <w:rPr>
                <w:rFonts w:ascii="Arial" w:cs="Arial" w:eastAsia="Arial" w:hAnsi="Arial"/>
                <w:sz w:val="20"/>
                <w:szCs w:val="20"/>
              </w:rPr>
              <w:t xml:space="preserve">Physical device in unknown hands, remote wipe pending/unconfirmed, data not yet deleted despite task completion, identifiable individuals (names + emails + affiliations).</w:t>
            </w:r>
          </w:p>
        </w:tc>
      </w:tr>
    </w:tbl>
    <w:p>
      <w:r>
        <w:br w:type="page"/>
      </w:r>
    </w:p>
    <w:p>
      <w:pPr>
        <w:pBdr>
          <w:bottom w:val="single" w:color="2E75B6" w:sz="4" w:space="4"/>
        </w:pBdr>
        <w:spacing w:before="200" w:after="200"/>
        <w:jc w:val="center"/>
      </w:pPr>
      <w:r>
        <w:rPr>
          <w:rFonts w:ascii="Arial" w:cs="Arial" w:eastAsia="Arial" w:hAnsi="Arial"/>
          <w:b/>
          <w:bCs/>
          <w:color w:val="1F3864"/>
          <w:sz w:val="32"/>
          <w:szCs w:val="32"/>
        </w:rPr>
        <w:t xml:space="preserve">PART C: TEAM WORKBOOK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Team Name / Number</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EUIBA Represented</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Team Members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Date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spacing w:after="120" w:line="276"/>
      </w:pPr>
      <w:r>
        <w:rPr>
          <w:rFonts w:ascii="Arial" w:cs="Arial" w:eastAsia="Arial" w:hAnsi="Arial"/>
          <w:i/>
          <w:iCs/>
          <w:sz w:val="22"/>
          <w:szCs w:val="22"/>
        </w:rPr>
        <w:t xml:space="preserve">Complete each section as a team. Be prepared to present your verdict and justification during the plenary discussion.</w:t>
      </w:r>
    </w:p>
    <w:p>
      <w:pPr>
        <w:pStyle w:val="Heading2"/>
        <w:spacing w:before="280" w:after="160"/>
      </w:pPr>
      <w:r>
        <w:rPr>
          <w:rFonts w:ascii="Arial" w:cs="Arial" w:eastAsia="Arial" w:hAnsi="Arial"/>
          <w:b/>
          <w:bCs/>
          <w:color w:val="2E75B6"/>
          <w:sz w:val="26"/>
          <w:szCs w:val="26"/>
        </w:rPr>
        <w:t xml:space="preserve">C.1 Block 1: Immediate Actions &amp; Internal Information Flow</w:t>
      </w:r>
    </w:p>
    <w:p>
      <w:pPr>
        <w:spacing w:after="120" w:line="276"/>
      </w:pPr>
      <w:r>
        <w:rPr>
          <w:rFonts w:ascii="Arial" w:cs="Arial" w:eastAsia="Arial" w:hAnsi="Arial"/>
          <w:i/>
          <w:iCs/>
          <w:sz w:val="22"/>
          <w:szCs w:val="22"/>
        </w:rPr>
        <w:t xml:space="preserve">Time allocation: approximately 8 minutes.</w:t>
      </w:r>
    </w:p>
    <w:p>
      <w:pPr>
        <w:pStyle w:val="Heading3"/>
        <w:spacing w:before="200" w:after="120"/>
      </w:pPr>
      <w:r>
        <w:rPr>
          <w:rFonts w:ascii="Arial" w:cs="Arial" w:eastAsia="Arial" w:hAnsi="Arial"/>
          <w:b/>
          <w:bCs/>
          <w:color w:val="2E75B6"/>
          <w:sz w:val="24"/>
          <w:szCs w:val="24"/>
        </w:rPr>
        <w:t xml:space="preserve">Question 1: Immediate Technical Actions</w:t>
      </w:r>
    </w:p>
    <w:p>
      <w:pPr>
        <w:spacing w:after="120" w:line="276"/>
      </w:pPr>
      <w:r>
        <w:rPr>
          <w:rFonts w:ascii="Arial" w:cs="Arial" w:eastAsia="Arial" w:hAnsi="Arial"/>
          <w:sz w:val="22"/>
          <w:szCs w:val="22"/>
        </w:rPr>
        <w:t xml:space="preserve">What are the immediate technical actions EU Connect should take (e.g., further remote actions, access revocation, VPN credential reset)?</w:t>
      </w:r>
    </w:p>
    <w:p>
      <w:pPr>
        <w:spacing w:after="40"/>
      </w:pPr>
      <w:r>
        <w:rPr>
          <w:rFonts w:ascii="Arial" w:cs="Arial" w:eastAsia="Arial" w:hAnsi="Arial"/>
          <w:b/>
          <w:bCs/>
          <w:sz w:val="20"/>
          <w:szCs w:val="20"/>
        </w:rPr>
        <w:t xml:space="preserve">Your answer:</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3"/>
        <w:spacing w:before="200" w:after="120"/>
      </w:pPr>
      <w:r>
        <w:rPr>
          <w:rFonts w:ascii="Arial" w:cs="Arial" w:eastAsia="Arial" w:hAnsi="Arial"/>
          <w:b/>
          <w:bCs/>
          <w:color w:val="2E75B6"/>
          <w:sz w:val="24"/>
          <w:szCs w:val="24"/>
        </w:rPr>
        <w:t xml:space="preserve">Question 2: Internal Notification Chain</w:t>
      </w:r>
    </w:p>
    <w:p>
      <w:pPr>
        <w:spacing w:after="120" w:line="276"/>
      </w:pPr>
      <w:r>
        <w:rPr>
          <w:rFonts w:ascii="Arial" w:cs="Arial" w:eastAsia="Arial" w:hAnsi="Arial"/>
          <w:sz w:val="22"/>
          <w:szCs w:val="22"/>
        </w:rPr>
        <w:t xml:space="preserve">Who needs to be informed internally about this incident? Map the notification chain: by whom, to whom, in what order, and within what timeframe. Consider: IT Security, LCO, DPO, Head of Unit, Senior Management,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800"/>
        <w:gridCol w:w="1400"/>
        <w:gridCol w:w="3426"/>
      </w:tblGrid>
      <w:tr>
        <w:tc>
          <w:tcPr>
            <w:tcW w:type="dxa" w:w="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From (Who Notifies)</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To (Who Is Notified)</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Timeframe</w:t>
            </w:r>
          </w:p>
        </w:tc>
        <w:tc>
          <w:tcPr>
            <w:tcW w:type="dxa" w:w="3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Key Information to Communicate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6</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Question 3: The 72-Hour Awareness Trigger</w:t>
      </w:r>
    </w:p>
    <w:p>
      <w:pPr>
        <w:spacing w:after="120" w:line="276"/>
      </w:pPr>
      <w:r>
        <w:rPr>
          <w:rFonts w:ascii="Arial" w:cs="Arial" w:eastAsia="Arial" w:hAnsi="Arial"/>
          <w:sz w:val="22"/>
          <w:szCs w:val="22"/>
        </w:rPr>
        <w:t xml:space="preserve">At what precise moment does the EUIBA become “aware” of a potential personal data breach for the purposes of the </w:t>
      </w:r>
      <w:r>
        <w:rPr>
          <w:rFonts w:ascii="Arial" w:cs="Arial" w:eastAsia="Arial" w:hAnsi="Arial"/>
          <w:b/>
          <w:bCs/>
          <w:sz w:val="22"/>
          <w:szCs w:val="22"/>
        </w:rPr>
        <w:t xml:space="preserve">72-hour notification deadline under Article 33 EUDPR</w:t>
      </w:r>
      <w:r>
        <w:rPr>
          <w:rFonts w:ascii="Arial" w:cs="Arial" w:eastAsia="Arial" w:hAnsi="Arial"/>
          <w:sz w:val="22"/>
          <w:szCs w:val="22"/>
        </w:rPr>
        <w:t xml:space="preserve">?</w:t>
      </w:r>
    </w:p>
    <w:p>
      <w:pPr>
        <w:spacing w:after="120" w:line="276"/>
      </w:pPr>
      <w:r>
        <w:rPr>
          <w:rFonts w:ascii="Arial" w:cs="Arial" w:eastAsia="Arial" w:hAnsi="Arial"/>
          <w:sz w:val="22"/>
          <w:szCs w:val="22"/>
        </w:rPr>
        <w:t xml:space="preserve">Choose one and justify your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200"/>
        <w:gridCol w:w="3826"/>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Candidate Moment</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Timestamp</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Your Team’s Choice</w:t>
            </w:r>
          </w:p>
        </w:tc>
        <w:tc>
          <w:tcPr>
            <w:tcW w:type="dxa" w:w="38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Consultant calls Head of Unit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09:45 UTC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Head of Unit informs IT Security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10:00 UTC</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IT confirms personal data was on device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10:30 UTC</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Other (specify):</w:t>
            </w:r>
          </w:p>
        </w:tc>
        <w:tc>
          <w:tcPr>
            <w:tcW w:type="dxa" w:w="1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38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r>
        <w:br w:type="page"/>
      </w:r>
    </w:p>
    <w:p>
      <w:pPr>
        <w:pStyle w:val="Heading2"/>
        <w:spacing w:before="280" w:after="160"/>
      </w:pPr>
      <w:r>
        <w:rPr>
          <w:rFonts w:ascii="Arial" w:cs="Arial" w:eastAsia="Arial" w:hAnsi="Arial"/>
          <w:b/>
          <w:bCs/>
          <w:color w:val="2E75B6"/>
          <w:sz w:val="26"/>
          <w:szCs w:val="26"/>
        </w:rPr>
        <w:t xml:space="preserve">C.2 Block 2: Personal Data Breach Identification</w:t>
      </w:r>
    </w:p>
    <w:p>
      <w:pPr>
        <w:spacing w:after="120" w:line="276"/>
      </w:pPr>
      <w:r>
        <w:rPr>
          <w:rFonts w:ascii="Arial" w:cs="Arial" w:eastAsia="Arial" w:hAnsi="Arial"/>
          <w:i/>
          <w:iCs/>
          <w:sz w:val="22"/>
          <w:szCs w:val="22"/>
        </w:rPr>
        <w:t xml:space="preserve">Time allocation: approximately 8 minutes (after receiving the inject).</w:t>
      </w:r>
    </w:p>
    <w:p>
      <w:pPr>
        <w:pStyle w:val="Heading3"/>
        <w:spacing w:before="200" w:after="120"/>
      </w:pPr>
      <w:r>
        <w:rPr>
          <w:rFonts w:ascii="Arial" w:cs="Arial" w:eastAsia="Arial" w:hAnsi="Arial"/>
          <w:b/>
          <w:bCs/>
          <w:color w:val="2E75B6"/>
          <w:sz w:val="24"/>
          <w:szCs w:val="24"/>
        </w:rPr>
        <w:t xml:space="preserve">Question 4: Is This a Personal Data Breach?</w:t>
      </w:r>
    </w:p>
    <w:p>
      <w:pPr>
        <w:spacing w:after="120" w:line="276"/>
      </w:pPr>
      <w:r>
        <w:rPr>
          <w:rFonts w:ascii="Arial" w:cs="Arial" w:eastAsia="Arial" w:hAnsi="Arial"/>
          <w:sz w:val="22"/>
          <w:szCs w:val="22"/>
        </w:rPr>
        <w:t xml:space="preserve">Is this incident a “personal data breach” as defined under </w:t>
      </w:r>
      <w:r>
        <w:rPr>
          <w:rFonts w:ascii="Arial" w:cs="Arial" w:eastAsia="Arial" w:hAnsi="Arial"/>
          <w:b/>
          <w:bCs/>
          <w:sz w:val="22"/>
          <w:szCs w:val="22"/>
        </w:rPr>
        <w:t xml:space="preserve">Article 3(16) EUDPR</w:t>
      </w:r>
      <w:r>
        <w:rPr>
          <w:rFonts w:ascii="Arial" w:cs="Arial" w:eastAsia="Arial" w:hAnsi="Arial"/>
          <w:sz w:val="22"/>
          <w:szCs w:val="22"/>
        </w:rPr>
        <w:t xml:space="preserve">? If so, what type(s) of breach are potentially involved?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Breach Type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Applicable? (Yes/No)</w:t>
            </w:r>
          </w:p>
        </w:tc>
        <w:tc>
          <w:tcPr>
            <w:tcW w:type="dxa" w:w="4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Confidentiality breach (unauthorised disclosure/access)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Integrity breach (unauthorised alteration)</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Availability breach (loss of access to data)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Question 5: Consultant’s Status Under the EUDPR</w:t>
      </w:r>
    </w:p>
    <w:p>
      <w:pPr>
        <w:spacing w:after="120" w:line="276"/>
      </w:pPr>
      <w:r>
        <w:rPr>
          <w:rFonts w:ascii="Arial" w:cs="Arial" w:eastAsia="Arial" w:hAnsi="Arial"/>
          <w:sz w:val="22"/>
          <w:szCs w:val="22"/>
        </w:rPr>
        <w:t xml:space="preserve">What is the consultant’s status under the EUDPR? Are they acting as a processor? Does the existence (or absence) of a DPA affect your assessment of the breach?</w:t>
      </w:r>
    </w:p>
    <w:p>
      <w:pPr>
        <w:spacing w:after="40"/>
      </w:pPr>
      <w:r>
        <w:rPr>
          <w:rFonts w:ascii="Arial" w:cs="Arial" w:eastAsia="Arial" w:hAnsi="Arial"/>
          <w:b/>
          <w:bCs/>
          <w:sz w:val="20"/>
          <w:szCs w:val="20"/>
        </w:rPr>
        <w:t xml:space="preserve">Your answer:</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2"/>
        <w:spacing w:before="280" w:after="160"/>
      </w:pPr>
      <w:r>
        <w:rPr>
          <w:rFonts w:ascii="Arial" w:cs="Arial" w:eastAsia="Arial" w:hAnsi="Arial"/>
          <w:b/>
          <w:bCs/>
          <w:color w:val="2E75B6"/>
          <w:sz w:val="26"/>
          <w:szCs w:val="26"/>
        </w:rPr>
        <w:t xml:space="preserve">C.3 Block 3: Initial Risk Assessment</w:t>
      </w:r>
    </w:p>
    <w:p>
      <w:pPr>
        <w:spacing w:after="120" w:line="276"/>
      </w:pPr>
      <w:r>
        <w:rPr>
          <w:rFonts w:ascii="Arial" w:cs="Arial" w:eastAsia="Arial" w:hAnsi="Arial"/>
          <w:i/>
          <w:iCs/>
          <w:sz w:val="22"/>
          <w:szCs w:val="22"/>
        </w:rPr>
        <w:t xml:space="preserve">Time allocation: approximately 20 minutes (including inject reassessment).</w:t>
      </w:r>
    </w:p>
    <w:p>
      <w:pPr>
        <w:pStyle w:val="Heading3"/>
        <w:spacing w:before="200" w:after="120"/>
      </w:pPr>
      <w:r>
        <w:rPr>
          <w:rFonts w:ascii="Arial" w:cs="Arial" w:eastAsia="Arial" w:hAnsi="Arial"/>
          <w:b/>
          <w:bCs/>
          <w:color w:val="2E75B6"/>
          <w:sz w:val="24"/>
          <w:szCs w:val="24"/>
        </w:rPr>
        <w:t xml:space="preserve">Question 6: Your Risk Verdict</w:t>
      </w:r>
    </w:p>
    <w:p>
      <w:pPr>
        <w:spacing w:after="120" w:line="276"/>
      </w:pPr>
      <w:r>
        <w:rPr>
          <w:rFonts w:ascii="Arial" w:cs="Arial" w:eastAsia="Arial" w:hAnsi="Arial"/>
          <w:b/>
          <w:bCs/>
          <w:sz w:val="22"/>
          <w:szCs w:val="22"/>
        </w:rPr>
        <w:t xml:space="preserve">Based on ALL available information (including the inject if already received), how do you assess the risk to the rights and freedoms of the 150 external experts?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
              <w:bottom w:val="single" w:color="C00000" w:sz="1"/>
              <w:right w:val="single" w:color="C00000" w:sz="1"/>
            </w:tcBorders>
            <w:shd w:fill="FFF0F0" w:val="clear"/>
            <w:tcMar>
              <w:top w:type="dxa" w:w="120"/>
              <w:left w:type="dxa" w:w="160"/>
              <w:bottom w:type="dxa" w:w="120"/>
              <w:right w:type="dxa" w:w="160"/>
            </w:tcMar>
          </w:tcPr>
          <w:p>
            <w:pPr>
              <w:spacing w:after="80"/>
            </w:pPr>
            <w:r>
              <w:rPr>
                <w:rFonts w:ascii="Arial" w:cs="Arial" w:eastAsia="Arial" w:hAnsi="Arial"/>
                <w:b/>
                <w:bCs/>
                <w:color w:val="C00000"/>
                <w:sz w:val="22"/>
                <w:szCs w:val="22"/>
              </w:rPr>
              <w:t xml:space="preserve">YOUR TEAM’S VERDICT</w:t>
            </w:r>
          </w:p>
          <w:p>
            <w:pPr>
              <w:spacing w:after="60" w:line="276"/>
            </w:pPr>
            <w:r>
              <w:rPr>
                <w:rFonts w:ascii="Arial" w:cs="Arial" w:eastAsia="Arial" w:hAnsi="Arial"/>
                <w:sz w:val="20"/>
                <w:szCs w:val="20"/>
              </w:rPr>
              <w:t xml:space="preserve">Select ONE and be prepared to justify it in plenary:</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  UNLIKELY RISK — Notification to EDPS not required</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  RISK — Notification to EDPS required; communication to data subjects not required</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  HIGH RISK — Notification to EDPS AND communication to data subjects required</w:t>
            </w:r>
          </w:p>
        </w:tc>
      </w:tr>
    </w:tbl>
    <w:p>
      <w:pPr>
        <w:spacing w:after="60"/>
      </w:pPr>
    </w:p>
    <w:p>
      <w:pPr>
        <w:pStyle w:val="Heading3"/>
        <w:spacing w:before="200" w:after="120"/>
      </w:pPr>
      <w:r>
        <w:rPr>
          <w:rFonts w:ascii="Arial" w:cs="Arial" w:eastAsia="Arial" w:hAnsi="Arial"/>
          <w:b/>
          <w:bCs/>
          <w:color w:val="2E75B6"/>
          <w:sz w:val="24"/>
          <w:szCs w:val="24"/>
        </w:rPr>
        <w:t xml:space="preserve">Question 7: Factor-by-Factor Analysis</w:t>
      </w:r>
    </w:p>
    <w:p>
      <w:pPr>
        <w:spacing w:after="120" w:line="276"/>
      </w:pPr>
      <w:r>
        <w:rPr>
          <w:rFonts w:ascii="Arial" w:cs="Arial" w:eastAsia="Arial" w:hAnsi="Arial"/>
          <w:sz w:val="22"/>
          <w:szCs w:val="22"/>
        </w:rPr>
        <w:t xml:space="preserve">Justify your verdict by addressing each factor below. Indicate whether each factor increases or decreases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EDPS Guidelines Factor</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 Increases / ↓ Decreases Risk</w:t>
            </w:r>
          </w:p>
        </w:tc>
        <w:tc>
          <w:tcPr>
            <w:tcW w:type="dxa" w:w="4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Your Analysis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and sensitivity of data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Encryption effectiveness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of theft (opportunistic vs. targeted)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Remote wipe status (before AND after inject)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Ease of identification of data subjects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data subjects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Nature of the threat actor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Availability of backups</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retention compliance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Phone numbers added (post-inject)</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Question 8: Missing Information</w:t>
      </w:r>
    </w:p>
    <w:p>
      <w:pPr>
        <w:spacing w:after="120" w:line="276"/>
      </w:pPr>
      <w:r>
        <w:rPr>
          <w:rFonts w:ascii="Arial" w:cs="Arial" w:eastAsia="Arial" w:hAnsi="Arial"/>
          <w:sz w:val="22"/>
          <w:szCs w:val="22"/>
        </w:rPr>
        <w:t xml:space="preserve">What critical information is still missing to make a definitive assessment, and from whom would you seek it?</w:t>
      </w:r>
    </w:p>
    <w:p>
      <w:pPr>
        <w:spacing w:after="40"/>
      </w:pPr>
      <w:r>
        <w:rPr>
          <w:rFonts w:ascii="Arial" w:cs="Arial" w:eastAsia="Arial" w:hAnsi="Arial"/>
          <w:b/>
          <w:bCs/>
          <w:sz w:val="20"/>
          <w:szCs w:val="20"/>
        </w:rPr>
        <w:t xml:space="preserve">Missing information:</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Source:</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r>
        <w:br w:type="page"/>
      </w:r>
    </w:p>
    <w:p>
      <w:pPr>
        <w:pStyle w:val="Heading2"/>
        <w:spacing w:before="280" w:after="160"/>
      </w:pPr>
      <w:r>
        <w:rPr>
          <w:rFonts w:ascii="Arial" w:cs="Arial" w:eastAsia="Arial" w:hAnsi="Arial"/>
          <w:b/>
          <w:bCs/>
          <w:color w:val="2E75B6"/>
          <w:sz w:val="26"/>
          <w:szCs w:val="26"/>
        </w:rPr>
        <w:t xml:space="preserve">C.4 Risk Assessment Template</w:t>
      </w:r>
    </w:p>
    <w:p>
      <w:pPr>
        <w:spacing w:after="120" w:line="276"/>
      </w:pPr>
      <w:r>
        <w:rPr>
          <w:rFonts w:ascii="Arial" w:cs="Arial" w:eastAsia="Arial" w:hAnsi="Arial"/>
          <w:i/>
          <w:iCs/>
          <w:sz w:val="22"/>
          <w:szCs w:val="22"/>
        </w:rPr>
        <w:t xml:space="preserve">Complete this structured template as a formal record of your team’s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Incident Reference</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PEDRRA-SC1-[Team Number]</w:t>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Date of Assessment</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600"/>
            <w:tcBorders>
              <w:top w:val="single" w:color="CCCCCC" w:sz="1"/>
              <w:left w:val="single" w:color="CCCCCC" w:sz="1"/>
              <w:bottom w:val="single" w:color="CCCCCC" w:sz="1"/>
              <w:right w:val="single" w:color="CCCCCC" w:sz="1"/>
            </w:tcBorders>
            <w:shd w:fill="E8EFF7" w:val="clear"/>
            <w:tcMar>
              <w:top w:type="dxa" w:w="60"/>
              <w:left w:type="dxa" w:w="100"/>
              <w:bottom w:type="dxa" w:w="60"/>
              <w:right w:type="dxa" w:w="100"/>
            </w:tcMar>
          </w:tcPr>
          <w:p>
            <w:r>
              <w:rPr>
                <w:rFonts w:ascii="Arial" w:cs="Arial" w:eastAsia="Arial" w:hAnsi="Arial"/>
                <w:b/>
                <w:bCs/>
                <w:sz w:val="20"/>
                <w:szCs w:val="20"/>
              </w:rPr>
              <w:t xml:space="preserve">Assessors</w:t>
            </w:r>
          </w:p>
        </w:tc>
        <w:tc>
          <w:tcPr>
            <w:tcW w:type="dxa" w:w="6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1. Incident Summary</w:t>
      </w:r>
    </w:p>
    <w:p>
      <w:pPr>
        <w:spacing w:after="40"/>
      </w:pPr>
      <w:r>
        <w:rPr>
          <w:rFonts w:ascii="Arial" w:cs="Arial" w:eastAsia="Arial" w:hAnsi="Arial"/>
          <w:b/>
          <w:bCs/>
          <w:sz w:val="20"/>
          <w:szCs w:val="20"/>
        </w:rPr>
        <w:t xml:space="preserve">Brief description of the incident (2–3 sentences):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pStyle w:val="Heading3"/>
        <w:spacing w:before="200" w:after="120"/>
      </w:pPr>
      <w:r>
        <w:rPr>
          <w:rFonts w:ascii="Arial" w:cs="Arial" w:eastAsia="Arial" w:hAnsi="Arial"/>
          <w:b/>
          <w:bCs/>
          <w:color w:val="2E75B6"/>
          <w:sz w:val="24"/>
          <w:szCs w:val="24"/>
        </w:rPr>
        <w:t xml:space="preserve">2. Surface of Attack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Element</w:t>
            </w:r>
          </w:p>
        </w:tc>
        <w:tc>
          <w:tcPr>
            <w:tcW w:type="dxa" w:w="6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categories involved</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Number of data subjects</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subjects’ profiles (vulnerability)</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Special categories (Art. 10 EUDPR)?</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Ease of identification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3. Adverse Effects on Data Subjects</w:t>
      </w:r>
    </w:p>
    <w:p>
      <w:pPr>
        <w:spacing w:after="120" w:line="276"/>
      </w:pPr>
      <w:r>
        <w:rPr>
          <w:rFonts w:ascii="Arial" w:cs="Arial" w:eastAsia="Arial" w:hAnsi="Arial"/>
          <w:sz w:val="22"/>
          <w:szCs w:val="22"/>
        </w:rPr>
        <w:t xml:space="preserve">Identify the potential adverse effects on data subjects’ rights and freedoms: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626"/>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Potential Adverse Effect</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Likelihood (Low/Med/High)</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Severity (Low/Med/High)</w:t>
            </w:r>
          </w:p>
        </w:tc>
        <w:tc>
          <w:tcPr>
            <w:tcW w:type="dxa" w:w="36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Identity theft or fraud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Loss of control over personal data</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Unsolicited contact / phishing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Reputational damage</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Professional disadvantage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Other (specify):</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36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4. Increasing and Decreasing Factors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Increasing Factors</w:t>
            </w:r>
          </w:p>
        </w:tc>
        <w:tc>
          <w:tcPr>
            <w:tcW w:type="dxa" w:w="4513"/>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Decreasing Factors</w:t>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4513"/>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5. Overall Risk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026"/>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Selected?</w:t>
            </w:r>
          </w:p>
        </w:tc>
        <w:tc>
          <w:tcPr>
            <w:tcW w:type="dxa" w:w="6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Unlikely Risk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Risk</w:t>
            </w:r>
          </w:p>
        </w:tc>
        <w:tc>
          <w:tcPr>
            <w:tcW w:type="dxa" w:w="10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w:t>
            </w:r>
          </w:p>
        </w:tc>
        <w:tc>
          <w:tcPr>
            <w:tcW w:type="dxa" w:w="6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 Risk</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3"/>
        <w:spacing w:before="200" w:after="120"/>
      </w:pPr>
      <w:r>
        <w:rPr>
          <w:rFonts w:ascii="Arial" w:cs="Arial" w:eastAsia="Arial" w:hAnsi="Arial"/>
          <w:b/>
          <w:bCs/>
          <w:color w:val="2E75B6"/>
          <w:sz w:val="24"/>
          <w:szCs w:val="24"/>
        </w:rPr>
        <w:t xml:space="preserve">6. Notification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200"/>
        <w:gridCol w:w="2426"/>
      </w:tblGrid>
      <w:t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Obligation</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Required? (Yes/No)</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Deadline / Timeframe</w:t>
            </w:r>
          </w:p>
        </w:tc>
        <w:tc>
          <w:tcPr>
            <w:tcW w:type="dxa" w:w="2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Responsible Person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 to EDPS (Art. 34 EUDPR)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Communication to data subjects (Art. 35 EUDPR)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Notification to CERT-EU (Cybersecurity Reg.)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Internal record (Art. 34(5) EUDPR)</w:t>
            </w:r>
          </w:p>
        </w:tc>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c>
          <w:tcPr>
            <w:tcW w:type="dxa" w:w="2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w:r>
          </w:p>
        </w:tc>
      </w:tr>
    </w:tbl>
    <w:p>
      <w:pPr>
        <w:spacing w:after="60"/>
      </w:pPr>
    </w:p>
    <w:p>
      <w:pPr>
        <w:pStyle w:val="Heading2"/>
        <w:spacing w:before="280" w:after="160"/>
      </w:pPr>
      <w:r>
        <w:rPr>
          <w:rFonts w:ascii="Arial" w:cs="Arial" w:eastAsia="Arial" w:hAnsi="Arial"/>
          <w:b/>
          <w:bCs/>
          <w:color w:val="2E75B6"/>
          <w:sz w:val="26"/>
          <w:szCs w:val="26"/>
        </w:rPr>
        <w:t xml:space="preserve">C.5 Data Subject Communication Draft</w:t>
      </w:r>
    </w:p>
    <w:p>
      <w:pPr>
        <w:spacing w:after="120" w:line="276"/>
      </w:pPr>
      <w:r>
        <w:rPr>
          <w:rFonts w:ascii="Arial" w:cs="Arial" w:eastAsia="Arial" w:hAnsi="Arial"/>
          <w:i/>
          <w:iCs/>
          <w:sz w:val="22"/>
          <w:szCs w:val="22"/>
        </w:rPr>
        <w:t xml:space="preserve">Complete ONLY if your team concluded High Risk. If not, note why communication is not required.</w:t>
      </w:r>
    </w:p>
    <w:p>
      <w:pPr>
        <w:spacing w:after="120" w:line="276"/>
      </w:pPr>
      <w:r>
        <w:rPr>
          <w:rFonts w:ascii="Arial" w:cs="Arial" w:eastAsia="Arial" w:hAnsi="Arial"/>
          <w:sz w:val="22"/>
          <w:szCs w:val="22"/>
        </w:rPr>
        <w:t xml:space="preserve">If communication to the 150 external experts IS required, draft the key elements following </w:t>
      </w:r>
      <w:r>
        <w:rPr>
          <w:rFonts w:ascii="Arial" w:cs="Arial" w:eastAsia="Arial" w:hAnsi="Arial"/>
          <w:b/>
          <w:bCs/>
          <w:sz w:val="22"/>
          <w:szCs w:val="22"/>
        </w:rPr>
        <w:t xml:space="preserve">Article 35 EUDPR</w:t>
      </w:r>
      <w:r>
        <w:rPr>
          <w:rFonts w:ascii="Arial" w:cs="Arial" w:eastAsia="Arial" w:hAnsi="Arial"/>
          <w:sz w:val="22"/>
          <w:szCs w:val="22"/>
        </w:rPr>
        <w:t xml:space="preserve">:</w:t>
      </w:r>
    </w:p>
    <w:p>
      <w:pPr>
        <w:spacing w:after="40"/>
      </w:pPr>
      <w:r>
        <w:rPr>
          <w:rFonts w:ascii="Arial" w:cs="Arial" w:eastAsia="Arial" w:hAnsi="Arial"/>
          <w:b/>
          <w:bCs/>
          <w:sz w:val="20"/>
          <w:szCs w:val="20"/>
        </w:rPr>
        <w:t xml:space="preserve">Nature of the breach (plain language):</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Likely consequences for the data subject:</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Measures taken or proposed to address the breach:</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Measures the data subject can take to protect themselves: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pPr>
        <w:spacing w:after="40"/>
      </w:pPr>
      <w:r>
        <w:rPr>
          <w:rFonts w:ascii="Arial" w:cs="Arial" w:eastAsia="Arial" w:hAnsi="Arial"/>
          <w:b/>
          <w:bCs/>
          <w:sz w:val="20"/>
          <w:szCs w:val="20"/>
        </w:rPr>
        <w:t xml:space="preserve">DPO contact details:</w:t>
      </w:r>
    </w:p>
    <w:p>
      <w:pPr>
        <w:pBdr>
          <w:bottom w:val="single" w:color="CCCCCC" w:sz="1" w:space="1"/>
        </w:pBdr>
        <w:spacing w:after="0"/>
      </w:pPr>
      <w:r>
        <w:rPr>
          <w:rFonts w:ascii="Arial" w:cs="Arial" w:eastAsia="Arial" w:hAnsi="Arial"/>
          <w:sz w:val="22"/>
          <w:szCs w:val="22"/>
        </w:rPr>
        <w:t xml:space="preserve"> </w:t>
      </w:r>
    </w:p>
    <w:p>
      <w:pPr>
        <w:pBdr>
          <w:bottom w:val="single" w:color="CCCCCC" w:sz="1" w:space="1"/>
        </w:pBdr>
        <w:spacing w:after="0"/>
      </w:pPr>
      <w:r>
        <w:rPr>
          <w:rFonts w:ascii="Arial" w:cs="Arial" w:eastAsia="Arial" w:hAnsi="Arial"/>
          <w:sz w:val="22"/>
          <w:szCs w:val="22"/>
        </w:rPr>
        <w:t xml:space="preserve"> </w:t>
      </w:r>
    </w:p>
    <w:p>
      <w:pPr>
        <w:spacing w:after="60"/>
      </w:pPr>
    </w:p>
    <w:p>
      <w:r>
        <w:br w:type="page"/>
      </w:r>
    </w:p>
    <w:p>
      <w:pPr>
        <w:pBdr>
          <w:bottom w:val="single" w:color="D4A017" w:sz="4" w:space="4"/>
        </w:pBdr>
        <w:spacing w:before="200" w:after="200"/>
        <w:jc w:val="center"/>
      </w:pPr>
      <w:r>
        <w:rPr>
          <w:rFonts w:ascii="Arial" w:cs="Arial" w:eastAsia="Arial" w:hAnsi="Arial"/>
          <w:b/>
          <w:bCs/>
          <w:color w:val="D4A017"/>
          <w:sz w:val="32"/>
          <w:szCs w:val="32"/>
        </w:rPr>
        <w:t xml:space="preserve">PART D: INJECT CARD</w:t>
      </w:r>
    </w:p>
    <w:p>
      <w:pPr>
        <w:spacing w:after="120" w:line="276"/>
      </w:pPr>
      <w:r>
        <w:rPr>
          <w:rFonts w:ascii="Arial" w:cs="Arial" w:eastAsia="Arial" w:hAnsi="Arial"/>
          <w:i/>
          <w:iCs/>
          <w:sz w:val="22"/>
          <w:szCs w:val="22"/>
        </w:rPr>
        <w:t xml:space="preserve">Distribute to teams at T+15 minutes. Read aloud.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6"/>
              <w:left w:val="single" w:color="C00000" w:sz="6"/>
              <w:bottom w:val="single" w:color="C00000" w:sz="6"/>
              <w:right w:val="single" w:color="C00000" w:sz="6"/>
            </w:tcBorders>
            <w:shd w:fill="FFF0F0" w:val="clear"/>
            <w:tcMar>
              <w:top w:type="dxa" w:w="200"/>
              <w:left w:type="dxa" w:w="200"/>
              <w:bottom w:type="dxa" w:w="200"/>
              <w:right w:type="dxa" w:w="200"/>
            </w:tcMar>
          </w:tcPr>
          <w:p>
            <w:pPr>
              <w:spacing w:after="160"/>
              <w:jc w:val="center"/>
            </w:pPr>
            <w:r>
              <w:rPr>
                <w:rFonts w:ascii="Arial" w:cs="Arial" w:eastAsia="Arial" w:hAnsi="Arial"/>
                <w:b/>
                <w:bCs/>
                <w:color w:val="C00000"/>
                <w:sz w:val="28"/>
                <w:szCs w:val="28"/>
              </w:rPr>
              <w:t xml:space="preserve">⚠ INJECT — Day 1, 14:00 UTC Update</w:t>
            </w:r>
          </w:p>
          <w:p>
            <w:pPr>
              <w:spacing w:after="120" w:line="276"/>
            </w:pPr>
            <w:r>
              <w:rPr>
                <w:rFonts w:ascii="Arial" w:cs="Arial" w:eastAsia="Arial" w:hAnsi="Arial"/>
                <w:sz w:val="22"/>
                <w:szCs w:val="22"/>
              </w:rPr>
              <w:t xml:space="preserve">The IT Security team provides an update:</w:t>
            </w:r>
          </w:p>
          <w:p>
            <w:pPr>
              <w:spacing w:after="120" w:line="276"/>
            </w:pPr>
            <w:r>
              <w:rPr>
                <w:rFonts w:ascii="Arial" w:cs="Arial" w:eastAsia="Arial" w:hAnsi="Arial"/>
                <w:b/>
                <w:bCs/>
                <w:sz w:val="22"/>
                <w:szCs w:val="22"/>
              </w:rPr>
              <w:t xml:space="preserve">1. Remote Wipe Status: </w:t>
            </w:r>
            <w:r>
              <w:rPr>
                <w:rFonts w:ascii="Arial" w:cs="Arial" w:eastAsia="Arial" w:hAnsi="Arial"/>
                <w:sz w:val="22"/>
                <w:szCs w:val="22"/>
              </w:rPr>
              <w:t xml:space="preserve">The MDM platform confirms that the stolen laptop has </w:t>
            </w:r>
            <w:r>
              <w:rPr>
                <w:rFonts w:ascii="Arial" w:cs="Arial" w:eastAsia="Arial" w:hAnsi="Arial"/>
                <w:b/>
                <w:bCs/>
                <w:sz w:val="22"/>
                <w:szCs w:val="22"/>
              </w:rPr>
              <w:t xml:space="preserve">NOT</w:t>
            </w:r>
            <w:r>
              <w:rPr>
                <w:rFonts w:ascii="Arial" w:cs="Arial" w:eastAsia="Arial" w:hAnsi="Arial"/>
                <w:sz w:val="22"/>
                <w:szCs w:val="22"/>
              </w:rPr>
              <w:t xml:space="preserve"> connected to any network since the theft. The remote wipe command remains </w:t>
            </w:r>
            <w:r>
              <w:rPr>
                <w:rFonts w:ascii="Arial" w:cs="Arial" w:eastAsia="Arial" w:hAnsi="Arial"/>
                <w:b/>
                <w:bCs/>
                <w:sz w:val="22"/>
                <w:szCs w:val="22"/>
              </w:rPr>
              <w:t xml:space="preserve">unexecuted</w:t>
            </w:r>
            <w:r>
              <w:rPr>
                <w:rFonts w:ascii="Arial" w:cs="Arial" w:eastAsia="Arial" w:hAnsi="Arial"/>
                <w:sz w:val="22"/>
                <w:szCs w:val="22"/>
              </w:rPr>
              <w:t xml:space="preserve">. The IT Security team assesses that if the device remains offline, the wipe cannot be completed.</w:t>
            </w:r>
          </w:p>
          <w:p>
            <w:pPr>
              <w:spacing w:after="120" w:line="276"/>
            </w:pPr>
            <w:r>
              <w:rPr>
                <w:rFonts w:ascii="Arial" w:cs="Arial" w:eastAsia="Arial" w:hAnsi="Arial"/>
                <w:b/>
                <w:bCs/>
                <w:sz w:val="22"/>
                <w:szCs w:val="22"/>
              </w:rPr>
              <w:t xml:space="preserve">2. Expanded Data Scope: </w:t>
            </w:r>
            <w:r>
              <w:rPr>
                <w:rFonts w:ascii="Arial" w:cs="Arial" w:eastAsia="Arial" w:hAnsi="Arial"/>
                <w:sz w:val="22"/>
                <w:szCs w:val="22"/>
              </w:rPr>
              <w:t xml:space="preserve">The workshop coordinator reports that the dataset may also have included the experts’ </w:t>
            </w:r>
            <w:r>
              <w:rPr>
                <w:rFonts w:ascii="Arial" w:cs="Arial" w:eastAsia="Arial" w:hAnsi="Arial"/>
                <w:b/>
                <w:bCs/>
                <w:sz w:val="22"/>
                <w:szCs w:val="22"/>
              </w:rPr>
              <w:t xml:space="preserve">direct phone numbers</w:t>
            </w:r>
            <w:r>
              <w:rPr>
                <w:rFonts w:ascii="Arial" w:cs="Arial" w:eastAsia="Arial" w:hAnsi="Arial"/>
                <w:sz w:val="22"/>
                <w:szCs w:val="22"/>
              </w:rPr>
              <w:t xml:space="preserve">, which were added to a separate column for logistical coordination. This was not part of the original dataset specification.</w:t>
            </w:r>
          </w:p>
          <w:p>
            <w:pPr>
              <w:spacing w:before="200"/>
            </w:pPr>
          </w:p>
          <w:p>
            <w:pPr>
              <w:pBdr>
                <w:top w:val="single" w:color="C00000" w:sz="2" w:space="4"/>
              </w:pBdr>
              <w:spacing w:after="0"/>
              <w:jc w:val="center"/>
            </w:pPr>
            <w:r>
              <w:rPr>
                <w:rFonts w:ascii="Arial" w:cs="Arial" w:eastAsia="Arial" w:hAnsi="Arial"/>
                <w:b/>
                <w:bCs/>
                <w:color w:val="C00000"/>
                <w:sz w:val="24"/>
                <w:szCs w:val="24"/>
              </w:rPr>
              <w:t xml:space="preserve">REVISED QUESTION</w:t>
            </w:r>
          </w:p>
          <w:p>
            <w:pPr>
              <w:spacing w:after="0"/>
              <w:jc w:val="center"/>
            </w:pPr>
            <w:r>
              <w:rPr>
                <w:rFonts w:ascii="Arial" w:cs="Arial" w:eastAsia="Arial" w:hAnsi="Arial"/>
                <w:b/>
                <w:bCs/>
                <w:sz w:val="22"/>
                <w:szCs w:val="22"/>
              </w:rPr>
              <w:t xml:space="preserve">Does this update change your risk assessment? If so, how and why?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017" w:sz="4"/>
              <w:left w:val="single" w:color="D4A017" w:sz="1"/>
              <w:bottom w:val="single" w:color="D4A017" w:sz="1"/>
              <w:right w:val="single" w:color="D4A017" w:sz="1"/>
            </w:tcBorders>
            <w:shd w:fill="FFF8E1" w:val="clear"/>
            <w:tcMar>
              <w:top w:type="dxa" w:w="120"/>
              <w:left w:type="dxa" w:w="160"/>
              <w:bottom w:type="dxa" w:w="120"/>
              <w:right w:type="dxa" w:w="160"/>
            </w:tcMar>
          </w:tcPr>
          <w:p>
            <w:pPr>
              <w:spacing w:after="80"/>
            </w:pPr>
            <w:r>
              <w:rPr>
                <w:rFonts w:ascii="Arial" w:cs="Arial" w:eastAsia="Arial" w:hAnsi="Arial"/>
                <w:b/>
                <w:bCs/>
                <w:color w:val="D4A017"/>
                <w:sz w:val="22"/>
                <w:szCs w:val="22"/>
              </w:rPr>
              <w:t xml:space="preserve">Facilitator Note</w:t>
            </w:r>
          </w:p>
          <w:p>
            <w:pPr>
              <w:spacing w:after="60" w:line="276"/>
            </w:pPr>
            <w:r>
              <w:rPr>
                <w:rFonts w:ascii="Arial" w:cs="Arial" w:eastAsia="Arial" w:hAnsi="Arial"/>
                <w:sz w:val="20"/>
                <w:szCs w:val="20"/>
              </w:rPr>
              <w:t xml:space="preserve">This inject is designed to: (a) close the remote wipe uncertainty in a way that increases risk, and (b) expand the data scope slightly.</w:t>
            </w:r>
          </w:p>
          <w:p>
            <w:pPr>
              <w:spacing w:after="60" w:line="276"/>
            </w:pPr>
            <w:r>
              <w:rPr>
                <w:rFonts w:ascii="Arial" w:cs="Arial" w:eastAsia="Arial" w:hAnsi="Arial"/>
                <w:sz w:val="20"/>
                <w:szCs w:val="20"/>
              </w:rPr>
              <w:t xml:space="preserve">Watch for teams that cling to “encryption is enough” despite the wipe failure.</w:t>
            </w:r>
          </w:p>
          <w:p>
            <w:pPr>
              <w:spacing w:after="60" w:line="276"/>
            </w:pPr>
            <w:r>
              <w:rPr>
                <w:rFonts w:ascii="Arial" w:cs="Arial" w:eastAsia="Arial" w:hAnsi="Arial"/>
                <w:sz w:val="20"/>
                <w:szCs w:val="20"/>
              </w:rPr>
              <w:t xml:space="preserve">The phone numbers add identifiability and contact potential (phishing, social engineering), which may tip some assessments from “Unlikely Risk” to “Risk.”</w:t>
            </w:r>
          </w:p>
        </w:tc>
      </w:tr>
    </w:tbl>
    <w:p>
      <w:r>
        <w:br w:type="page"/>
      </w:r>
    </w:p>
    <w:p>
      <w:pPr>
        <w:pBdr>
          <w:bottom w:val="single" w:color="C00000" w:sz="4" w:space="4"/>
        </w:pBdr>
        <w:spacing w:before="200" w:after="200"/>
        <w:jc w:val="center"/>
      </w:pPr>
      <w:r>
        <w:rPr>
          <w:rFonts w:ascii="Arial" w:cs="Arial" w:eastAsia="Arial" w:hAnsi="Arial"/>
          <w:b/>
          <w:bCs/>
          <w:color w:val="C00000"/>
          <w:sz w:val="32"/>
          <w:szCs w:val="32"/>
        </w:rPr>
        <w:t xml:space="preserve">PART E: SOLUTION KEY (FACILITATOR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
              <w:bottom w:val="single" w:color="C00000" w:sz="1"/>
              <w:right w:val="single" w:color="C00000" w:sz="1"/>
            </w:tcBorders>
            <w:shd w:fill="FFF0F0" w:val="clear"/>
            <w:tcMar>
              <w:top w:type="dxa" w:w="120"/>
              <w:left w:type="dxa" w:w="160"/>
              <w:bottom w:type="dxa" w:w="120"/>
              <w:right w:type="dxa" w:w="160"/>
            </w:tcMar>
          </w:tcPr>
          <w:p>
            <w:pPr>
              <w:spacing w:after="80"/>
            </w:pPr>
            <w:r>
              <w:rPr>
                <w:rFonts w:ascii="Arial" w:cs="Arial" w:eastAsia="Arial" w:hAnsi="Arial"/>
                <w:b/>
                <w:bCs/>
                <w:color w:val="C00000"/>
                <w:sz w:val="22"/>
                <w:szCs w:val="22"/>
              </w:rPr>
              <w:t xml:space="preserve">CONFIDENTIAL</w:t>
            </w:r>
          </w:p>
          <w:p>
            <w:pPr>
              <w:spacing w:after="60" w:line="276"/>
            </w:pPr>
            <w:r>
              <w:rPr>
                <w:rFonts w:ascii="Arial" w:cs="Arial" w:eastAsia="Arial" w:hAnsi="Arial"/>
                <w:sz w:val="20"/>
                <w:szCs w:val="20"/>
              </w:rPr>
              <w:t xml:space="preserve">This section contains model answers for the facilitator. Do NOT distribute to participants.</w:t>
            </w:r>
          </w:p>
          <w:p>
            <w:pPr>
              <w:spacing w:after="60" w:line="276"/>
            </w:pPr>
            <w:r>
              <w:rPr>
                <w:rFonts w:ascii="Arial" w:cs="Arial" w:eastAsia="Arial" w:hAnsi="Arial"/>
                <w:sz w:val="20"/>
                <w:szCs w:val="20"/>
              </w:rPr>
              <w:t xml:space="preserve">These are reference answers, not the only correct answers. Accept well-reasoned alternatives.</w:t>
            </w:r>
          </w:p>
        </w:tc>
      </w:tr>
    </w:tbl>
    <w:p>
      <w:pPr>
        <w:spacing w:after="60"/>
      </w:pPr>
    </w:p>
    <w:p>
      <w:pPr>
        <w:pStyle w:val="Heading2"/>
        <w:spacing w:before="280" w:after="160"/>
      </w:pPr>
      <w:r>
        <w:rPr>
          <w:rFonts w:ascii="Arial" w:cs="Arial" w:eastAsia="Arial" w:hAnsi="Arial"/>
          <w:b/>
          <w:bCs/>
          <w:color w:val="2E75B6"/>
          <w:sz w:val="26"/>
          <w:szCs w:val="26"/>
        </w:rPr>
        <w:t xml:space="preserve">E.1 Model Answers — Block 1: Immediate Actions &amp; Internal Information Flow</w:t>
      </w:r>
    </w:p>
    <w:p>
      <w:pPr>
        <w:pStyle w:val="Heading3"/>
        <w:spacing w:before="200" w:after="120"/>
      </w:pPr>
      <w:r>
        <w:rPr>
          <w:rFonts w:ascii="Arial" w:cs="Arial" w:eastAsia="Arial" w:hAnsi="Arial"/>
          <w:b/>
          <w:bCs/>
          <w:color w:val="2E75B6"/>
          <w:sz w:val="24"/>
          <w:szCs w:val="24"/>
        </w:rPr>
        <w:t xml:space="preserve">Question 1: Immediate Technical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1. </w:t>
            </w:r>
            <w:r>
              <w:rPr>
                <w:rFonts w:ascii="Arial" w:cs="Arial" w:eastAsia="Arial" w:hAnsi="Arial"/>
                <w:sz w:val="20"/>
                <w:szCs w:val="20"/>
              </w:rPr>
              <w:t xml:space="preserve">Monitor the remote wipe command status continuously.</w:t>
            </w:r>
          </w:p>
          <w:p>
            <w:pPr>
              <w:spacing w:after="60" w:line="276"/>
            </w:pPr>
            <w:r>
              <w:rPr>
                <w:rFonts w:ascii="Arial" w:cs="Arial" w:eastAsia="Arial" w:hAnsi="Arial"/>
                <w:b/>
                <w:bCs/>
                <w:sz w:val="20"/>
                <w:szCs w:val="20"/>
              </w:rPr>
              <w:t xml:space="preserve">2. </w:t>
            </w:r>
            <w:r>
              <w:rPr>
                <w:rFonts w:ascii="Arial" w:cs="Arial" w:eastAsia="Arial" w:hAnsi="Arial"/>
                <w:sz w:val="20"/>
                <w:szCs w:val="20"/>
              </w:rPr>
              <w:t xml:space="preserve">Revoke the consultant’s VPN credentials and all remote access tokens immediately.</w:t>
            </w:r>
          </w:p>
          <w:p>
            <w:pPr>
              <w:spacing w:after="60" w:line="276"/>
            </w:pPr>
            <w:r>
              <w:rPr>
                <w:rFonts w:ascii="Arial" w:cs="Arial" w:eastAsia="Arial" w:hAnsi="Arial"/>
                <w:b/>
                <w:bCs/>
                <w:sz w:val="20"/>
                <w:szCs w:val="20"/>
              </w:rPr>
              <w:t xml:space="preserve">3. </w:t>
            </w:r>
            <w:r>
              <w:rPr>
                <w:rFonts w:ascii="Arial" w:cs="Arial" w:eastAsia="Arial" w:hAnsi="Arial"/>
                <w:sz w:val="20"/>
                <w:szCs w:val="20"/>
              </w:rPr>
              <w:t xml:space="preserve">Reset any shared credentials or API keys that the consultant had access to.</w:t>
            </w:r>
          </w:p>
          <w:p>
            <w:pPr>
              <w:spacing w:after="60" w:line="276"/>
            </w:pPr>
            <w:r>
              <w:rPr>
                <w:rFonts w:ascii="Arial" w:cs="Arial" w:eastAsia="Arial" w:hAnsi="Arial"/>
                <w:b/>
                <w:bCs/>
                <w:sz w:val="20"/>
                <w:szCs w:val="20"/>
              </w:rPr>
              <w:t xml:space="preserve">4. </w:t>
            </w:r>
            <w:r>
              <w:rPr>
                <w:rFonts w:ascii="Arial" w:cs="Arial" w:eastAsia="Arial" w:hAnsi="Arial"/>
                <w:sz w:val="20"/>
                <w:szCs w:val="20"/>
              </w:rPr>
              <w:t xml:space="preserve">Review access logs for the consultant’s account for any unusual activity since the theft.</w:t>
            </w:r>
          </w:p>
          <w:p>
            <w:pPr>
              <w:spacing w:after="60" w:line="276"/>
            </w:pPr>
            <w:r>
              <w:rPr>
                <w:rFonts w:ascii="Arial" w:cs="Arial" w:eastAsia="Arial" w:hAnsi="Arial"/>
                <w:b/>
                <w:bCs/>
                <w:sz w:val="20"/>
                <w:szCs w:val="20"/>
              </w:rPr>
              <w:t xml:space="preserve">5. </w:t>
            </w:r>
            <w:r>
              <w:rPr>
                <w:rFonts w:ascii="Arial" w:cs="Arial" w:eastAsia="Arial" w:hAnsi="Arial"/>
                <w:sz w:val="20"/>
                <w:szCs w:val="20"/>
              </w:rPr>
              <w:t xml:space="preserve">Consider requiring password changes for any EU Connect accounts accessed from the stolen device.</w:t>
            </w:r>
          </w:p>
          <w:p>
            <w:pPr>
              <w:spacing w:after="60" w:line="276"/>
            </w:pPr>
            <w:r>
              <w:rPr>
                <w:rFonts w:ascii="Arial" w:cs="Arial" w:eastAsia="Arial" w:hAnsi="Arial"/>
                <w:b/>
                <w:bCs/>
                <w:sz w:val="20"/>
                <w:szCs w:val="20"/>
              </w:rPr>
              <w:t xml:space="preserve">6. </w:t>
            </w:r>
            <w:r>
              <w:rPr>
                <w:rFonts w:ascii="Arial" w:cs="Arial" w:eastAsia="Arial" w:hAnsi="Arial"/>
                <w:sz w:val="20"/>
                <w:szCs w:val="20"/>
              </w:rPr>
              <w:t xml:space="preserve">Instruct the consultant to change passwords for any personal accounts that might share credentials.</w:t>
            </w:r>
          </w:p>
          <w:p>
            <w:pPr>
              <w:spacing w:after="60" w:line="276"/>
            </w:pPr>
            <w:r>
              <w:rPr>
                <w:rFonts w:ascii="Arial" w:cs="Arial" w:eastAsia="Arial" w:hAnsi="Arial"/>
                <w:b/>
                <w:bCs/>
                <w:sz w:val="20"/>
                <w:szCs w:val="20"/>
              </w:rPr>
              <w:t xml:space="preserve">7. </w:t>
            </w:r>
            <w:r>
              <w:rPr>
                <w:rFonts w:ascii="Arial" w:cs="Arial" w:eastAsia="Arial" w:hAnsi="Arial"/>
                <w:sz w:val="20"/>
                <w:szCs w:val="20"/>
              </w:rPr>
              <w:t xml:space="preserve">Preserve all forensic evidence and documentation (police report, MDM logs, access logs).</w:t>
            </w:r>
          </w:p>
        </w:tc>
      </w:tr>
    </w:tbl>
    <w:p>
      <w:pPr>
        <w:spacing w:after="60"/>
      </w:pPr>
    </w:p>
    <w:p>
      <w:pPr>
        <w:pStyle w:val="Heading3"/>
        <w:spacing w:before="200" w:after="120"/>
      </w:pPr>
      <w:r>
        <w:rPr>
          <w:rFonts w:ascii="Arial" w:cs="Arial" w:eastAsia="Arial" w:hAnsi="Arial"/>
          <w:b/>
          <w:bCs/>
          <w:color w:val="2E75B6"/>
          <w:sz w:val="24"/>
          <w:szCs w:val="24"/>
        </w:rPr>
        <w:t xml:space="preserve">Question 2: Internal Notification Chain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Step 1: </w:t>
            </w:r>
            <w:r>
              <w:rPr>
                <w:rFonts w:ascii="Arial" w:cs="Arial" w:eastAsia="Arial" w:hAnsi="Arial"/>
                <w:sz w:val="20"/>
                <w:szCs w:val="20"/>
              </w:rPr>
              <w:t xml:space="preserve">Consultant → Head of Unit (already done at 09:45). Key info: theft occurred, laptop encrypted, data present.</w:t>
            </w:r>
          </w:p>
          <w:p>
            <w:pPr>
              <w:spacing w:after="60" w:line="276"/>
            </w:pPr>
            <w:r>
              <w:rPr>
                <w:rFonts w:ascii="Arial" w:cs="Arial" w:eastAsia="Arial" w:hAnsi="Arial"/>
                <w:b/>
                <w:bCs/>
                <w:sz w:val="20"/>
                <w:szCs w:val="20"/>
              </w:rPr>
              <w:t xml:space="preserve">Step 2: </w:t>
            </w:r>
            <w:r>
              <w:rPr>
                <w:rFonts w:ascii="Arial" w:cs="Arial" w:eastAsia="Arial" w:hAnsi="Arial"/>
                <w:sz w:val="20"/>
                <w:szCs w:val="20"/>
              </w:rPr>
              <w:t xml:space="preserve">Head of Unit → IT Security team (already done at 10:00). Key info: request for immediate technical assessment.</w:t>
            </w:r>
          </w:p>
          <w:p>
            <w:pPr>
              <w:spacing w:after="60" w:line="276"/>
            </w:pPr>
            <w:r>
              <w:rPr>
                <w:rFonts w:ascii="Arial" w:cs="Arial" w:eastAsia="Arial" w:hAnsi="Arial"/>
                <w:b/>
                <w:bCs/>
                <w:sz w:val="20"/>
                <w:szCs w:val="20"/>
              </w:rPr>
              <w:t xml:space="preserve">Step 3: </w:t>
            </w:r>
            <w:r>
              <w:rPr>
                <w:rFonts w:ascii="Arial" w:cs="Arial" w:eastAsia="Arial" w:hAnsi="Arial"/>
                <w:sz w:val="20"/>
                <w:szCs w:val="20"/>
              </w:rPr>
              <w:t xml:space="preserve">IT Security → LCO (immediately after initial assessment). Key info: confirmed security incident, personal data potentially compromised, remote wipe pending.</w:t>
            </w:r>
          </w:p>
          <w:p>
            <w:pPr>
              <w:spacing w:after="60" w:line="276"/>
            </w:pPr>
            <w:r>
              <w:rPr>
                <w:rFonts w:ascii="Arial" w:cs="Arial" w:eastAsia="Arial" w:hAnsi="Arial"/>
                <w:b/>
                <w:bCs/>
                <w:sz w:val="20"/>
                <w:szCs w:val="20"/>
              </w:rPr>
              <w:t xml:space="preserve">Step 4: </w:t>
            </w:r>
            <w:r>
              <w:rPr>
                <w:rFonts w:ascii="Arial" w:cs="Arial" w:eastAsia="Arial" w:hAnsi="Arial"/>
                <w:sz w:val="20"/>
                <w:szCs w:val="20"/>
              </w:rPr>
              <w:t xml:space="preserve">IT Security / LCO → DPO (within hours of confirming personal data was on the device). Key info: nature of data, number of subjects, security measures in place, assessment of risk.</w:t>
            </w:r>
          </w:p>
          <w:p>
            <w:pPr>
              <w:spacing w:after="60" w:line="276"/>
            </w:pPr>
            <w:r>
              <w:rPr>
                <w:rFonts w:ascii="Arial" w:cs="Arial" w:eastAsia="Arial" w:hAnsi="Arial"/>
                <w:b/>
                <w:bCs/>
                <w:sz w:val="20"/>
                <w:szCs w:val="20"/>
              </w:rPr>
              <w:t xml:space="preserve">Step 5: </w:t>
            </w:r>
            <w:r>
              <w:rPr>
                <w:rFonts w:ascii="Arial" w:cs="Arial" w:eastAsia="Arial" w:hAnsi="Arial"/>
                <w:sz w:val="20"/>
                <w:szCs w:val="20"/>
              </w:rPr>
              <w:t xml:space="preserve">DPO → Senior Management (same day). Key info: breach classification, preliminary risk assessment, potential notification obligations.</w:t>
            </w:r>
          </w:p>
          <w:p>
            <w:pPr>
              <w:spacing w:after="60" w:line="276"/>
            </w:pPr>
            <w:r>
              <w:rPr>
                <w:rFonts w:ascii="Arial" w:cs="Arial" w:eastAsia="Arial" w:hAnsi="Arial"/>
                <w:b/>
                <w:bCs/>
                <w:sz w:val="20"/>
                <w:szCs w:val="20"/>
              </w:rPr>
              <w:t xml:space="preserve">Step 6: </w:t>
            </w:r>
            <w:r>
              <w:rPr>
                <w:rFonts w:ascii="Arial" w:cs="Arial" w:eastAsia="Arial" w:hAnsi="Arial"/>
                <w:sz w:val="20"/>
                <w:szCs w:val="20"/>
              </w:rPr>
              <w:t xml:space="preserve">DPO → Legal (if High Risk or complex questions arise). Key info: notification obligations, contractual implications with the consultant.</w:t>
            </w:r>
          </w:p>
          <w:p>
            <w:pPr>
              <w:spacing w:after="60" w:line="276"/>
            </w:pPr>
            <w:r>
              <w:rPr>
                <w:rFonts w:ascii="Arial" w:cs="Arial" w:eastAsia="Arial" w:hAnsi="Arial"/>
                <w:sz w:val="20"/>
                <w:szCs w:val="20"/>
              </w:rPr>
              <w:t xml:space="preserve"/>
            </w:r>
          </w:p>
          <w:p>
            <w:pPr>
              <w:spacing w:after="60" w:line="276"/>
            </w:pPr>
            <w:r>
              <w:rPr>
                <w:rFonts w:ascii="Arial" w:cs="Arial" w:eastAsia="Arial" w:hAnsi="Arial"/>
                <w:i/>
                <w:iCs/>
                <w:sz w:val="20"/>
                <w:szCs w:val="20"/>
              </w:rPr>
              <w:t xml:space="preserve">Key point: The DPO must be involved as soon as personal data is confirmed to be on the device (10:30 UTC). Delay beyond this point risks the 72-hour clock.</w:t>
            </w:r>
          </w:p>
        </w:tc>
      </w:tr>
    </w:tbl>
    <w:p>
      <w:pPr>
        <w:spacing w:after="60"/>
      </w:pPr>
    </w:p>
    <w:p>
      <w:pPr>
        <w:pStyle w:val="Heading3"/>
        <w:spacing w:before="200" w:after="120"/>
      </w:pPr>
      <w:r>
        <w:rPr>
          <w:rFonts w:ascii="Arial" w:cs="Arial" w:eastAsia="Arial" w:hAnsi="Arial"/>
          <w:b/>
          <w:bCs/>
          <w:color w:val="2E75B6"/>
          <w:sz w:val="24"/>
          <w:szCs w:val="24"/>
        </w:rPr>
        <w:t xml:space="preserve">Question 3: 72-Hour Awareness Trigger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Most defensible answer: 10:30 UTC </w:t>
            </w:r>
            <w:r>
              <w:rPr>
                <w:rFonts w:ascii="Arial" w:cs="Arial" w:eastAsia="Arial" w:hAnsi="Arial"/>
                <w:sz w:val="20"/>
                <w:szCs w:val="20"/>
              </w:rPr>
              <w:t xml:space="preserve">(when IT Security confirms personal data was on the device).</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Reasoning: The EDPS Guidelines clarify that “awareness” begins when the controller has a “reasonable degree of certainty” that a security incident has resulted in personal data being compromised. At 09:45, the Head of Unit knows about the theft but not about personal data. At 10:00, IT Security begins investigating. At 10:30, the investigation confirms personal data was present on the device.</w:t>
            </w:r>
          </w:p>
          <w:p>
            <w:pPr>
              <w:spacing w:after="60" w:line="276"/>
            </w:pPr>
            <w:r>
              <w:rPr>
                <w:rFonts w:ascii="Arial" w:cs="Arial" w:eastAsia="Arial" w:hAnsi="Arial"/>
                <w:sz w:val="20"/>
                <w:szCs w:val="20"/>
              </w:rPr>
              <w:t xml:space="preserve"/>
            </w:r>
          </w:p>
          <w:p>
            <w:pPr>
              <w:spacing w:after="60" w:line="276"/>
            </w:pPr>
            <w:r>
              <w:rPr>
                <w:rFonts w:ascii="Arial" w:cs="Arial" w:eastAsia="Arial" w:hAnsi="Arial"/>
                <w:i/>
                <w:iCs/>
                <w:sz w:val="20"/>
                <w:szCs w:val="20"/>
              </w:rPr>
              <w:t xml:space="preserve">Acceptable alternative: </w:t>
            </w:r>
            <w:r>
              <w:rPr>
                <w:rFonts w:ascii="Arial" w:cs="Arial" w:eastAsia="Arial" w:hAnsi="Arial"/>
                <w:sz w:val="20"/>
                <w:szCs w:val="20"/>
              </w:rPr>
              <w:t xml:space="preserve">Teams may argue 10:00 UTC on the basis that the Head of Unit already knew the consultant worked on the UnionGate project and therefore data was likely present. This is a defensible position if well-argued.</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Not acceptable: </w:t>
            </w:r>
            <w:r>
              <w:rPr>
                <w:rFonts w:ascii="Arial" w:cs="Arial" w:eastAsia="Arial" w:hAnsi="Arial"/>
                <w:sz w:val="20"/>
                <w:szCs w:val="20"/>
              </w:rPr>
              <w:t xml:space="preserve">Arguing awareness begins only when the DPO is formally informed. The controller is “aware” through its employees/agents, regardless of internal notification delays.</w:t>
            </w:r>
          </w:p>
        </w:tc>
      </w:tr>
    </w:tbl>
    <w:p>
      <w:r>
        <w:br w:type="page"/>
      </w:r>
    </w:p>
    <w:p>
      <w:pPr>
        <w:pStyle w:val="Heading2"/>
        <w:spacing w:before="280" w:after="160"/>
      </w:pPr>
      <w:r>
        <w:rPr>
          <w:rFonts w:ascii="Arial" w:cs="Arial" w:eastAsia="Arial" w:hAnsi="Arial"/>
          <w:b/>
          <w:bCs/>
          <w:color w:val="2E75B6"/>
          <w:sz w:val="26"/>
          <w:szCs w:val="26"/>
        </w:rPr>
        <w:t xml:space="preserve">E.2 Model Answers — Block 2: Breach Identification</w:t>
      </w:r>
    </w:p>
    <w:p>
      <w:pPr>
        <w:pStyle w:val="Heading3"/>
        <w:spacing w:before="200" w:after="120"/>
      </w:pPr>
      <w:r>
        <w:rPr>
          <w:rFonts w:ascii="Arial" w:cs="Arial" w:eastAsia="Arial" w:hAnsi="Arial"/>
          <w:b/>
          <w:bCs/>
          <w:color w:val="2E75B6"/>
          <w:sz w:val="24"/>
          <w:szCs w:val="24"/>
        </w:rPr>
        <w:t xml:space="preserve">Question 4: Is This a Personal Data Breach?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b/>
                <w:bCs/>
                <w:sz w:val="20"/>
                <w:szCs w:val="20"/>
              </w:rPr>
              <w:t xml:space="preserve">Yes, this is a personal data breach </w:t>
            </w:r>
            <w:r>
              <w:rPr>
                <w:rFonts w:ascii="Arial" w:cs="Arial" w:eastAsia="Arial" w:hAnsi="Arial"/>
                <w:sz w:val="20"/>
                <w:szCs w:val="20"/>
              </w:rPr>
              <w:t xml:space="preserve">as defined under Article 3(16) EUDPR.</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Confidentiality breach: YES. </w:t>
            </w:r>
            <w:r>
              <w:rPr>
                <w:rFonts w:ascii="Arial" w:cs="Arial" w:eastAsia="Arial" w:hAnsi="Arial"/>
                <w:sz w:val="20"/>
                <w:szCs w:val="20"/>
              </w:rPr>
              <w:t xml:space="preserve">An unauthorised third party (the thief) has physical possession of a device containing personal data. Even though the data is encrypted, the potential for unauthorised access exists. The EDPS Guidelines consider loss of physical control a confidentiality breach, mitigated but not eliminated by encryption.</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Integrity breach: NO. </w:t>
            </w:r>
            <w:r>
              <w:rPr>
                <w:rFonts w:ascii="Arial" w:cs="Arial" w:eastAsia="Arial" w:hAnsi="Arial"/>
                <w:sz w:val="20"/>
                <w:szCs w:val="20"/>
              </w:rPr>
              <w:t xml:space="preserve">There is no evidence of unauthorised alteration of the data.</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Availability breach: NO (for the controller). </w:t>
            </w:r>
            <w:r>
              <w:rPr>
                <w:rFonts w:ascii="Arial" w:cs="Arial" w:eastAsia="Arial" w:hAnsi="Arial"/>
                <w:sz w:val="20"/>
                <w:szCs w:val="20"/>
              </w:rPr>
              <w:t xml:space="preserve">EU Connect has backups. However, if backups did NOT exist, this would also constitute an availability breach.</w:t>
            </w:r>
          </w:p>
        </w:tc>
      </w:tr>
    </w:tbl>
    <w:p>
      <w:pPr>
        <w:spacing w:after="60"/>
      </w:pPr>
    </w:p>
    <w:p>
      <w:pPr>
        <w:pStyle w:val="Heading3"/>
        <w:spacing w:before="200" w:after="120"/>
      </w:pPr>
      <w:r>
        <w:rPr>
          <w:rFonts w:ascii="Arial" w:cs="Arial" w:eastAsia="Arial" w:hAnsi="Arial"/>
          <w:b/>
          <w:bCs/>
          <w:color w:val="2E75B6"/>
          <w:sz w:val="24"/>
          <w:szCs w:val="24"/>
        </w:rPr>
        <w:t xml:space="preserve">Question 5: Consultant’s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w:t>
            </w:r>
          </w:p>
          <w:p>
            <w:pPr>
              <w:spacing w:after="60" w:line="276"/>
            </w:pPr>
            <w:r>
              <w:rPr>
                <w:rFonts w:ascii="Arial" w:cs="Arial" w:eastAsia="Arial" w:hAnsi="Arial"/>
                <w:sz w:val="20"/>
                <w:szCs w:val="20"/>
              </w:rPr>
              <w:t xml:space="preserve">The consultant acts as a processor under the DPA. The DPA exists and explicitly governs the consultant’s data handling obligations, including encryption and incident notification.</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Key implication: </w:t>
            </w:r>
            <w:r>
              <w:rPr>
                <w:rFonts w:ascii="Arial" w:cs="Arial" w:eastAsia="Arial" w:hAnsi="Arial"/>
                <w:sz w:val="20"/>
                <w:szCs w:val="20"/>
              </w:rPr>
              <w:t xml:space="preserve">The processor (consultant) has notified the controller (EU Connect) of the incident, fulfilling their Article 33(2) obligation. EU Connect, as controller, must now assess the breach and decide on notification to the EDPS.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The DPA’s existence strengthens the assessment: </w:t>
            </w:r>
            <w:r>
              <w:rPr>
                <w:rFonts w:ascii="Arial" w:cs="Arial" w:eastAsia="Arial" w:hAnsi="Arial"/>
                <w:sz w:val="20"/>
                <w:szCs w:val="20"/>
              </w:rPr>
              <w:t xml:space="preserve">the encryption was contractually required and was in place. However, the pending deletion (data should have been deleted but wasn’t) raises an accountability question about whether the consultant complied with the DPA’s data minimisation requirements.</w:t>
            </w:r>
          </w:p>
        </w:tc>
      </w:tr>
    </w:tbl>
    <w:p>
      <w:pPr>
        <w:pStyle w:val="Heading2"/>
        <w:spacing w:before="280" w:after="160"/>
      </w:pPr>
      <w:r>
        <w:rPr>
          <w:rFonts w:ascii="Arial" w:cs="Arial" w:eastAsia="Arial" w:hAnsi="Arial"/>
          <w:b/>
          <w:bCs/>
          <w:color w:val="2E75B6"/>
          <w:sz w:val="26"/>
          <w:szCs w:val="26"/>
        </w:rPr>
        <w:t xml:space="preserve">E.3 Model Answers — Block 3: Risk Assessment</w:t>
      </w:r>
    </w:p>
    <w:p>
      <w:pPr>
        <w:pStyle w:val="Heading3"/>
        <w:spacing w:before="200" w:after="120"/>
      </w:pPr>
      <w:r>
        <w:rPr>
          <w:rFonts w:ascii="Arial" w:cs="Arial" w:eastAsia="Arial" w:hAnsi="Arial"/>
          <w:b/>
          <w:bCs/>
          <w:color w:val="2E75B6"/>
          <w:sz w:val="24"/>
          <w:szCs w:val="24"/>
        </w:rPr>
        <w:t xml:space="preserve">Question 6: Risk Verdict (Before Inject)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Model Answer (Pre-Inject)</w:t>
            </w:r>
          </w:p>
          <w:p>
            <w:pPr>
              <w:spacing w:after="60" w:line="276"/>
            </w:pPr>
            <w:r>
              <w:rPr>
                <w:rFonts w:ascii="Arial" w:cs="Arial" w:eastAsia="Arial" w:hAnsi="Arial"/>
                <w:b/>
                <w:bCs/>
                <w:sz w:val="20"/>
                <w:szCs w:val="20"/>
              </w:rPr>
              <w:t xml:space="preserve">Defensible verdict: UNLIKELY RISK </w:t>
            </w:r>
            <w:r>
              <w:rPr>
                <w:rFonts w:ascii="Arial" w:cs="Arial" w:eastAsia="Arial" w:hAnsi="Arial"/>
                <w:sz w:val="20"/>
                <w:szCs w:val="20"/>
              </w:rPr>
              <w:t xml:space="preserve">(leaning towards Risk).</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The combination of strong encryption + strong passphrase + opportunistic theft + backups + non-sensitive data categories creates a strong case that this is “unlikely to result in a risk to the rights and freedoms” of the data subjects. However, the pending remote wipe introduces uncertainty.</w:t>
            </w:r>
          </w:p>
          <w:p>
            <w:pPr>
              <w:spacing w:after="60" w:line="276"/>
            </w:pPr>
            <w:r>
              <w:rPr>
                <w:rFonts w:ascii="Arial" w:cs="Arial" w:eastAsia="Arial" w:hAnsi="Arial"/>
                <w:sz w:val="20"/>
                <w:szCs w:val="20"/>
              </w:rPr>
              <w:t xml:space="preserve"/>
            </w:r>
          </w:p>
          <w:p>
            <w:pPr>
              <w:spacing w:after="60" w:line="276"/>
            </w:pPr>
            <w:r>
              <w:rPr>
                <w:rFonts w:ascii="Arial" w:cs="Arial" w:eastAsia="Arial" w:hAnsi="Arial"/>
                <w:i/>
                <w:iCs/>
                <w:sz w:val="20"/>
                <w:szCs w:val="20"/>
              </w:rPr>
              <w:t xml:space="preserve">Note: Teams that argue “Risk” pre-inject are also correct if they emphasise the permanent loss of physical control. The point is that this is genuinely ambiguous — that’s the pedagogical design.</w:t>
            </w:r>
          </w:p>
        </w:tc>
      </w:tr>
    </w:tbl>
    <w:p>
      <w:pPr>
        <w:spacing w:after="60"/>
      </w:pPr>
    </w:p>
    <w:p>
      <w:pPr>
        <w:pStyle w:val="Heading3"/>
        <w:spacing w:before="200" w:after="120"/>
      </w:pPr>
      <w:r>
        <w:rPr>
          <w:rFonts w:ascii="Arial" w:cs="Arial" w:eastAsia="Arial" w:hAnsi="Arial"/>
          <w:b/>
          <w:bCs/>
          <w:color w:val="2E75B6"/>
          <w:sz w:val="24"/>
          <w:szCs w:val="24"/>
        </w:rPr>
        <w:t xml:space="preserve">Question 7: Factor-by-Factor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426"/>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EDPS Factor</w:t>
            </w:r>
          </w:p>
        </w:tc>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t>
            </w:r>
          </w:p>
        </w:tc>
        <w:tc>
          <w:tcPr>
            <w:tcW w:type="dxa" w:w="54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Model Analysis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Type and sensitivity of data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Decreases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Professional contact data only (names, work emails, affiliations). No special categories. Relatively low sensitivity.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Encryption effectiveness</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Decreases (significantly)</w:t>
            </w:r>
          </w:p>
        </w:tc>
        <w:tc>
          <w:tcPr>
            <w:tcW w:type="dxa" w:w="5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Full-disk BitLocker with strong 20+ character passphrase. No known vulnerabilities. This is the strongest mitigating factor.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Context of theft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Decreases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Opportunistic burglary. No evidence of targeting data. Other electronics also stolen.</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Remote wipe status (pre-inject)</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Neutral/Slight decrease</w:t>
            </w:r>
          </w:p>
        </w:tc>
        <w:tc>
          <w:tcPr>
            <w:tcW w:type="dxa" w:w="5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Command sent but pending. Provides potential additional protection but cannot be relied upon.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Remote wipe status (post-inject)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Increases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Wipe confirmed unexecuted. Device offline. No prospect of remote destruction. Thief retains physical access indefinitely.</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Ease of identification</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Increases</w:t>
            </w:r>
          </w:p>
        </w:tc>
        <w:tc>
          <w:tcPr>
            <w:tcW w:type="dxa" w:w="5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Name + email + affiliation = easily identifiable individuals. Post-inject: phone numbers further increase identifiability and enable direct contact.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Number of data subjects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Neutral</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150 individuals — moderate number. Not a mass breach, but not negligible.</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Nature of threat actor</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Decreases</w:t>
            </w:r>
          </w:p>
        </w:tc>
        <w:tc>
          <w:tcPr>
            <w:tcW w:type="dxa" w:w="5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Opportunistic burglar unlikely to have technical capability or motivation to crack BitLocker encryption.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Availability of backups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Decreases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 is not lost to the controller. No availability impact.</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retention compliance</w:t>
            </w:r>
          </w:p>
        </w:tc>
        <w:tc>
          <w:tcPr>
            <w:tcW w:type="dxa" w:w="1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 Slight increase</w:t>
            </w:r>
          </w:p>
        </w:tc>
        <w:tc>
          <w:tcPr>
            <w:tcW w:type="dxa" w:w="54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Data should have been deleted after the workshop but wasn’t. Raises accountability question but does not directly increase risk to subjects.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Phone numbers (post-inject)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 Increases</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Direct phone numbers enable phishing, social engineering. Increases potential for adverse effects.</w:t>
            </w:r>
          </w:p>
        </w:tc>
      </w:tr>
    </w:tbl>
    <w:p>
      <w:r>
        <w:br w:type="page"/>
      </w:r>
    </w:p>
    <w:p>
      <w:pPr>
        <w:pStyle w:val="Heading2"/>
        <w:spacing w:before="280" w:after="160"/>
      </w:pPr>
      <w:r>
        <w:rPr>
          <w:rFonts w:ascii="Arial" w:cs="Arial" w:eastAsia="Arial" w:hAnsi="Arial"/>
          <w:b/>
          <w:bCs/>
          <w:color w:val="2E75B6"/>
          <w:sz w:val="26"/>
          <w:szCs w:val="26"/>
        </w:rPr>
        <w:t xml:space="preserve">E.4 Model Risk Assessment (Post-Inject)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D32" w:sz="4"/>
              <w:left w:val="single" w:color="2E7D32" w:sz="1"/>
              <w:bottom w:val="single" w:color="2E7D32" w:sz="1"/>
              <w:right w:val="single" w:color="2E7D32" w:sz="1"/>
            </w:tcBorders>
            <w:shd w:fill="F0FAF0" w:val="clear"/>
            <w:tcMar>
              <w:top w:type="dxa" w:w="120"/>
              <w:left w:type="dxa" w:w="160"/>
              <w:bottom w:type="dxa" w:w="120"/>
              <w:right w:type="dxa" w:w="160"/>
            </w:tcMar>
          </w:tcPr>
          <w:p>
            <w:pPr>
              <w:spacing w:after="80"/>
            </w:pPr>
            <w:r>
              <w:rPr>
                <w:rFonts w:ascii="Arial" w:cs="Arial" w:eastAsia="Arial" w:hAnsi="Arial"/>
                <w:b/>
                <w:bCs/>
                <w:color w:val="2E7D32"/>
                <w:sz w:val="22"/>
                <w:szCs w:val="22"/>
              </w:rPr>
              <w:t xml:space="preserve">Overall Assessment: RISK (Notification to EDPS Required)</w:t>
            </w:r>
          </w:p>
          <w:p>
            <w:pPr>
              <w:spacing w:after="60" w:line="276"/>
            </w:pPr>
            <w:r>
              <w:rPr>
                <w:rFonts w:ascii="Arial" w:cs="Arial" w:eastAsia="Arial" w:hAnsi="Arial"/>
                <w:b/>
                <w:bCs/>
                <w:sz w:val="20"/>
                <w:szCs w:val="20"/>
              </w:rPr>
              <w:t xml:space="preserve">Risk Level: RISK </w:t>
            </w:r>
            <w:r>
              <w:rPr>
                <w:rFonts w:ascii="Arial" w:cs="Arial" w:eastAsia="Arial" w:hAnsi="Arial"/>
                <w:sz w:val="20"/>
                <w:szCs w:val="20"/>
              </w:rPr>
              <w:t xml:space="preserve">(not Unlikely Risk, not High Risk).</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Rationale: </w:t>
            </w:r>
            <w:r>
              <w:rPr>
                <w:rFonts w:ascii="Arial" w:cs="Arial" w:eastAsia="Arial" w:hAnsi="Arial"/>
                <w:sz w:val="20"/>
                <w:szCs w:val="20"/>
              </w:rPr>
              <w:t xml:space="preserve">After the inject, the balance shifts. The confirmed failure of the remote wipe means the only protection is encryption. While BitLocker with a strong passphrase provides robust protection, the controller can no longer guarantee data destruction. The addition of phone numbers increases identifiability and the potential for targeted contact.</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Notification to EDPS: YES </w:t>
            </w:r>
            <w:r>
              <w:rPr>
                <w:rFonts w:ascii="Arial" w:cs="Arial" w:eastAsia="Arial" w:hAnsi="Arial"/>
                <w:sz w:val="20"/>
                <w:szCs w:val="20"/>
              </w:rPr>
              <w:t xml:space="preserve">(required under Article 34 EUDPR, within 72 hours of awareness).</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Communication to data subjects: NOT REQUIRED. </w:t>
            </w:r>
            <w:r>
              <w:rPr>
                <w:rFonts w:ascii="Arial" w:cs="Arial" w:eastAsia="Arial" w:hAnsi="Arial"/>
                <w:sz w:val="20"/>
                <w:szCs w:val="20"/>
              </w:rPr>
              <w:t xml:space="preserve">The encryption remains effective and the data is not in the special categories. The risk does not meet the “high risk” threshold that would trigger Article 35 obligations. However, the situation should be monitored — if the encryption is later found to be compromised, re-assessment would be needed.</w:t>
            </w:r>
          </w:p>
          <w:p>
            <w:pPr>
              <w:spacing w:after="60" w:line="276"/>
            </w:pPr>
            <w:r>
              <w:rPr>
                <w:rFonts w:ascii="Arial" w:cs="Arial" w:eastAsia="Arial" w:hAnsi="Arial"/>
                <w:sz w:val="20"/>
                <w:szCs w:val="20"/>
              </w:rPr>
              <w:t xml:space="preserve"/>
            </w:r>
          </w:p>
          <w:p>
            <w:pPr>
              <w:spacing w:after="60" w:line="276"/>
            </w:pPr>
            <w:r>
              <w:rPr>
                <w:rFonts w:ascii="Arial" w:cs="Arial" w:eastAsia="Arial" w:hAnsi="Arial"/>
                <w:b/>
                <w:bCs/>
                <w:sz w:val="20"/>
                <w:szCs w:val="20"/>
              </w:rPr>
              <w:t xml:space="preserve">Internal record: YES </w:t>
            </w:r>
            <w:r>
              <w:rPr>
                <w:rFonts w:ascii="Arial" w:cs="Arial" w:eastAsia="Arial" w:hAnsi="Arial"/>
                <w:sz w:val="20"/>
                <w:szCs w:val="20"/>
              </w:rPr>
              <w:t xml:space="preserve">(required under Article 34(5) EUDPR regardless of notification decision).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1"/>
              <w:bottom w:val="single" w:color="2E75B6" w:sz="1"/>
              <w:right w:val="single" w:color="2E75B6" w:sz="1"/>
            </w:tcBorders>
            <w:shd w:fill="EBF2FA" w:val="clear"/>
            <w:tcMar>
              <w:top w:type="dxa" w:w="120"/>
              <w:left w:type="dxa" w:w="160"/>
              <w:bottom w:type="dxa" w:w="120"/>
              <w:right w:type="dxa" w:w="160"/>
            </w:tcMar>
          </w:tcPr>
          <w:p>
            <w:pPr>
              <w:spacing w:after="80"/>
            </w:pPr>
            <w:r>
              <w:rPr>
                <w:rFonts w:ascii="Arial" w:cs="Arial" w:eastAsia="Arial" w:hAnsi="Arial"/>
                <w:b/>
                <w:bCs/>
                <w:color w:val="1F3864"/>
                <w:sz w:val="22"/>
                <w:szCs w:val="22"/>
              </w:rPr>
              <w:t xml:space="preserve">Key Pedagogical Takeaway</w:t>
            </w:r>
          </w:p>
          <w:p>
            <w:pPr>
              <w:spacing w:after="60" w:line="276"/>
            </w:pPr>
            <w:r>
              <w:rPr>
                <w:rFonts w:ascii="Arial" w:cs="Arial" w:eastAsia="Arial" w:hAnsi="Arial"/>
                <w:sz w:val="20"/>
                <w:szCs w:val="20"/>
              </w:rPr>
              <w:t xml:space="preserve">This scenario is deliberately ambiguous. The “correct” answer is not a fixed verdict but a well-reasoned assessment that weighs all factors.</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The core lesson: encryption significantly reduces risk but does not eliminate it when physical control is permanently lost. The controller must still assess, document, and (in most post-inject interpretations) notify the EDPS.</w:t>
            </w:r>
          </w:p>
          <w:p>
            <w:pPr>
              <w:spacing w:after="60" w:line="276"/>
            </w:pPr>
            <w:r>
              <w:rPr>
                <w:rFonts w:ascii="Arial" w:cs="Arial" w:eastAsia="Arial" w:hAnsi="Arial"/>
                <w:sz w:val="20"/>
                <w:szCs w:val="20"/>
              </w:rPr>
              <w:t xml:space="preserve"/>
            </w:r>
          </w:p>
          <w:p>
            <w:pPr>
              <w:spacing w:after="60" w:line="276"/>
            </w:pPr>
            <w:r>
              <w:rPr>
                <w:rFonts w:ascii="Arial" w:cs="Arial" w:eastAsia="Arial" w:hAnsi="Arial"/>
                <w:sz w:val="20"/>
                <w:szCs w:val="20"/>
              </w:rPr>
              <w:t xml:space="preserve">Teams that reach different verdicts but demonstrate rigorous reasoning should be acknowledged. The process matters as much as the conclusion.</w:t>
            </w:r>
          </w:p>
        </w:tc>
      </w:tr>
    </w:tbl>
    <w:p>
      <w:pPr>
        <w:pStyle w:val="Heading2"/>
        <w:spacing w:before="280" w:after="160"/>
      </w:pPr>
      <w:r>
        <w:rPr>
          <w:rFonts w:ascii="Arial" w:cs="Arial" w:eastAsia="Arial" w:hAnsi="Arial"/>
          <w:b/>
          <w:bCs/>
          <w:color w:val="2E75B6"/>
          <w:sz w:val="26"/>
          <w:szCs w:val="26"/>
        </w:rPr>
        <w:t xml:space="preserve">E.5 Post-Inject Reassessment</w:t>
      </w:r>
    </w:p>
    <w:p>
      <w:pPr>
        <w:spacing w:after="120" w:line="276"/>
      </w:pPr>
      <w:r>
        <w:rPr>
          <w:rFonts w:ascii="Arial" w:cs="Arial" w:eastAsia="Arial" w:hAnsi="Arial"/>
          <w:sz w:val="22"/>
          <w:szCs w:val="22"/>
        </w:rPr>
        <w:t xml:space="preserve">The inject changes two things: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Change</w:t>
            </w:r>
          </w:p>
        </w:tc>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Impact on Assessment</w:t>
            </w:r>
          </w:p>
        </w:tc>
        <w:tc>
          <w:tcPr>
            <w:tcW w:type="dxa" w:w="3026"/>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Expected Team Reaction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Remote wipe confirmed unexecuted</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Removes a potential mitigating factor. The thief has the device indefinitely with no prospect of remote data destruction.</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Teams previously at “Unlikely Risk” should at minimum move to debate. Many should shift to “Risk.”</w:t>
            </w:r>
          </w:p>
        </w:tc>
      </w:tr>
      <w:tr>
        <w:tc>
          <w:tcPr>
            <w:tcW w:type="dxa" w:w="2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Phone numbers discovered in dataset</w:t>
            </w:r>
          </w:p>
        </w:tc>
        <w:tc>
          <w:tcPr>
            <w:tcW w:type="dxa" w:w="3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Increases identifiability and potential for targeted harm (phishing, social engineering using names + phone numbers).</w:t>
            </w:r>
          </w:p>
        </w:tc>
        <w:tc>
          <w:tcPr>
            <w:tcW w:type="dxa" w:w="3026"/>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r>
              <w:rPr>
                <w:rFonts w:ascii="Arial" w:cs="Arial" w:eastAsia="Arial" w:hAnsi="Arial"/>
                <w:sz w:val="20"/>
                <w:szCs w:val="20"/>
              </w:rPr>
              <w:t xml:space="preserve">Should prompt reconsideration of the ease-of-identification factor. Combined with the wipe failure, this tips the balance.</w:t>
            </w:r>
          </w:p>
        </w:tc>
      </w:tr>
    </w:tbl>
    <w:p>
      <w:pPr>
        <w:spacing w:after="60"/>
      </w:pPr>
    </w:p>
    <w:p>
      <w:pPr>
        <w:spacing w:after="120" w:line="276"/>
      </w:pPr>
      <w:r>
        <w:rPr>
          <w:rFonts w:ascii="Arial" w:cs="Arial" w:eastAsia="Arial" w:hAnsi="Arial"/>
          <w:b/>
          <w:bCs/>
          <w:sz w:val="22"/>
          <w:szCs w:val="22"/>
        </w:rPr>
        <w:t xml:space="preserve">If a team maintains “Unlikely Risk” after the inject: </w:t>
      </w:r>
      <w:r>
        <w:rPr>
          <w:rFonts w:ascii="Arial" w:cs="Arial" w:eastAsia="Arial" w:hAnsi="Arial"/>
          <w:sz w:val="22"/>
          <w:szCs w:val="22"/>
        </w:rPr>
        <w:t xml:space="preserve">This is still defensible if they argue that (a) BitLocker with a 20+ character passphrase is essentially unbreakable for an opportunistic thief, and (b) the data categories remain non-sensitive. Acknowledge this but probe: “What would need to change for you to notify? How long would you wait before deciding the wipe has failed?”</w:t>
      </w:r>
    </w:p>
    <w:p>
      <w:pPr>
        <w:spacing w:after="60"/>
      </w:pPr>
    </w:p>
    <w:p>
      <w:pPr>
        <w:spacing w:after="120" w:line="276"/>
      </w:pPr>
      <w:r>
        <w:rPr>
          <w:rFonts w:ascii="Arial" w:cs="Arial" w:eastAsia="Arial" w:hAnsi="Arial"/>
          <w:b/>
          <w:bCs/>
          <w:sz w:val="22"/>
          <w:szCs w:val="22"/>
        </w:rPr>
        <w:t xml:space="preserve">If a team jumps to “High Risk” after the inject: </w:t>
      </w:r>
      <w:r>
        <w:rPr>
          <w:rFonts w:ascii="Arial" w:cs="Arial" w:eastAsia="Arial" w:hAnsi="Arial"/>
          <w:sz w:val="22"/>
          <w:szCs w:val="22"/>
        </w:rPr>
        <w:t xml:space="preserve">This is harder to defend. Probe: “What specific adverse effect would constitute ‘high risk’ to the data subjects? Remember, the data is professional contact information protected by strong encryption. Compare this to a scenario involving health data or financial data.”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PEDRRA — Scenario 1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i/>
        <w:iCs/>
        <w:color w:val="888888"/>
        <w:sz w:val="16"/>
        <w:szCs w:val="16"/>
      </w:rPr>
      <w:t xml:space="preserve">PEDRRA — Scenario 1: The Encrypted Gateway</w:t>
    </w:r>
    <w:r>
      <w:rPr>
        <w:rFonts w:ascii="Arial" w:cs="Arial" w:eastAsia="Arial" w:hAnsi="Arial"/>
        <w:i/>
        <w:iCs/>
        <w:color w:val="888888"/>
        <w:sz w:val="16"/>
        <w:szCs w:val="16"/>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2026-03-13T08:45:33.981Z</dcterms:created>
  <dcterms:modified xsi:type="dcterms:W3CDTF">2026-03-13T08:45:33.982Z</dcterms:modified>
</cp:coreProperties>
</file>

<file path=docProps/custom.xml><?xml version="1.0" encoding="utf-8"?>
<Properties xmlns="http://schemas.openxmlformats.org/officeDocument/2006/custom-properties" xmlns:vt="http://schemas.openxmlformats.org/officeDocument/2006/docPropsVTypes"/>
</file>