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1F3864"/>
          <w:sz w:val="24"/>
          <w:szCs w:val="24"/>
        </w:rPr>
        <w:t xml:space="preserve">EUROPEAN DATA PROTECTION SUPERVISOR</w:t>
      </w:r>
    </w:p>
    <w:p>
      <w:pPr>
        <w:spacing w:after="400"/>
        <w:jc w:val="center"/>
      </w:pPr>
      <w:r>
        <w:rPr>
          <w:rFonts w:ascii="Arial" w:cs="Arial" w:eastAsia="Arial" w:hAnsi="Arial"/>
          <w:sz w:val="22"/>
          <w:szCs w:val="22"/>
        </w:rPr>
        <w:t xml:space="preserve">Technology &amp; Privacy Unit</w:t>
      </w:r>
    </w:p>
    <w:p>
      <w:pPr>
        <w:spacing w:after="80"/>
        <w:jc w:val="center"/>
      </w:pPr>
      <w:r>
        <w:rPr>
          <w:rFonts w:ascii="Arial" w:cs="Arial" w:eastAsia="Arial" w:hAnsi="Arial"/>
          <w:b/>
          <w:bCs/>
          <w:color w:val="1F3864"/>
          <w:sz w:val="56"/>
          <w:szCs w:val="56"/>
        </w:rPr>
        <w:t xml:space="preserve">PEDRRA</w:t>
      </w:r>
    </w:p>
    <w:p>
      <w:pPr>
        <w:spacing w:after="200"/>
        <w:jc w:val="center"/>
      </w:pPr>
      <w:r>
        <w:rPr>
          <w:rFonts w:ascii="Arial" w:cs="Arial" w:eastAsia="Arial" w:hAnsi="Arial"/>
          <w:color w:val="2E75B6"/>
          <w:sz w:val="26"/>
          <w:szCs w:val="26"/>
        </w:rPr>
        <w:t xml:space="preserve">PErsonal Data bReach Risk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6"/>
              <w:left w:val="single" w:color="1F3864" w:sz="6"/>
              <w:bottom w:val="single" w:color="1F3864" w:sz="6"/>
              <w:right w:val="single" w:color="1F3864" w:sz="6"/>
            </w:tcBorders>
            <w:shd w:fill="1F3864" w:val="clear"/>
            <w:tcMar>
              <w:top w:type="dxa" w:w="200"/>
              <w:left w:type="dxa" w:w="200"/>
              <w:bottom w:type="dxa" w:w="200"/>
              <w:right w:type="dxa" w:w="200"/>
            </w:tcMar>
          </w:tcPr>
          <w:p>
            <w:pPr>
              <w:spacing w:after="60"/>
              <w:jc w:val="center"/>
            </w:pPr>
            <w:r>
              <w:rPr>
                <w:rFonts w:ascii="Arial" w:cs="Arial" w:eastAsia="Arial" w:hAnsi="Arial"/>
                <w:b/>
                <w:bCs/>
                <w:color w:val="FFFFFF"/>
                <w:sz w:val="36"/>
                <w:szCs w:val="36"/>
              </w:rPr>
              <w:t xml:space="preserve">SCENARIO 2</w:t>
            </w:r>
          </w:p>
          <w:p>
            <w:pPr>
              <w:spacing w:after="60"/>
              <w:jc w:val="center"/>
            </w:pPr>
            <w:r>
              <w:rPr>
                <w:rFonts w:ascii="Arial" w:cs="Arial" w:eastAsia="Arial" w:hAnsi="Arial"/>
                <w:b/>
                <w:bCs/>
                <w:color w:val="FFFFFF"/>
                <w:sz w:val="44"/>
                <w:szCs w:val="44"/>
              </w:rPr>
              <w:t xml:space="preserve">The Inter-Agency Data Leak</w:t>
            </w:r>
          </w:p>
          <w:p>
            <w:pPr>
              <w:jc w:val="center"/>
            </w:pPr>
            <w:r>
              <w:rPr>
                <w:rFonts w:ascii="Arial" w:cs="Arial" w:eastAsia="Arial" w:hAnsi="Arial"/>
                <w:color w:val="B8CCE4"/>
                <w:sz w:val="28"/>
                <w:szCs w:val="28"/>
              </w:rPr>
              <w:t xml:space="preserve">(Cloud Service Provider Compromise)</w:t>
            </w:r>
          </w:p>
        </w:tc>
      </w:tr>
    </w:tbl>
    <w:p>
      <w:pPr>
        <w:spacing w:before="600"/>
        <w:jc w:val="center"/>
      </w:pPr>
      <w:r>
        <w:rPr>
          <w:rFonts w:ascii="Arial" w:cs="Arial" w:eastAsia="Arial" w:hAnsi="Arial"/>
          <w:b/>
          <w:bCs/>
          <w:sz w:val="26"/>
          <w:szCs w:val="26"/>
        </w:rPr>
        <w:t xml:space="preserve">Complete Operational Package</w:t>
      </w:r>
    </w:p>
    <w:p>
      <w:pPr>
        <w:spacing w:after="80"/>
        <w:jc w:val="center"/>
      </w:pPr>
      <w:r>
        <w:rPr>
          <w:rFonts w:ascii="Arial" w:cs="Arial" w:eastAsia="Arial" w:hAnsi="Arial"/>
          <w:i/>
          <w:iCs/>
          <w:sz w:val="20"/>
          <w:szCs w:val="20"/>
        </w:rPr>
        <w:t xml:space="preserve">Facilitator Guide • Participant Briefing • Team Workbook • Risk Assessment Template • Solution Key</w:t>
      </w:r>
    </w:p>
    <w:p>
      <w:pPr>
        <w:spacing w:before="800"/>
        <w:jc w:val="center"/>
      </w:pPr>
      <w:r>
        <w:rPr>
          <w:rFonts w:ascii="Arial" w:cs="Arial" w:eastAsia="Arial" w:hAnsi="Arial"/>
          <w:sz w:val="22"/>
          <w:szCs w:val="22"/>
        </w:rPr>
        <w:t xml:space="preserve">Version 1.0 — March 2026</w:t>
      </w:r>
    </w:p>
    <w:p>
      <w:pPr>
        <w:jc w:val="center"/>
      </w:pPr>
      <w:r>
        <w:rPr>
          <w:rFonts w:ascii="Arial" w:cs="Arial" w:eastAsia="Arial" w:hAnsi="Arial"/>
          <w:i/>
          <w:iCs/>
          <w:sz w:val="20"/>
          <w:szCs w:val="20"/>
        </w:rPr>
        <w:t xml:space="preserve">CONFIDENTIAL — Facilitator copy includes solution keys</w:t>
      </w:r>
    </w:p>
    <w:p>
      <w:r>
        <w:br w:type="page"/>
      </w:r>
    </w:p>
    <w:p>
      <w:pPr>
        <w:pStyle w:val="Heading1"/>
        <w:spacing w:before="360" w:after="200"/>
      </w:pPr>
      <w:r>
        <w:rPr>
          <w:rFonts w:ascii="Arial" w:cs="Arial" w:eastAsia="Arial" w:hAnsi="Arial"/>
          <w:b/>
          <w:bCs/>
          <w:color w:val="1F3864"/>
          <w:sz w:val="32"/>
          <w:szCs w:val="32"/>
        </w:rPr>
        <w:t xml:space="preserve">Contents</w:t>
      </w:r>
    </w:p>
    <w:p>
      <w:pPr>
        <w:spacing w:after="40"/>
        <w:ind w:left="0"/>
      </w:pPr>
      <w:r>
        <w:rPr>
          <w:rFonts w:ascii="Arial" w:cs="Arial" w:eastAsia="Arial" w:hAnsi="Arial"/>
          <w:b/>
          <w:bCs/>
          <w:sz w:val="22"/>
          <w:szCs w:val="22"/>
        </w:rPr>
        <w:t xml:space="preserve">Part A: Facilitator Guide</w:t>
      </w:r>
    </w:p>
    <w:p>
      <w:pPr>
        <w:pStyle w:val="Heading3"/>
        <w:spacing w:before="280" w:after="160"/>
        <w:rPr>
          <w:b/>
          <w:rFonts w:ascii="Arial" w:hAnsi="Arial"/>
          <w:sz w:val="24"/>
          <w:color w:val="2E75B6"/>
        </w:rPr>
      </w:pPr>
      <w:r>
        <w:rPr>
          <w:b/>
          <w:rFonts w:ascii="Arial" w:hAnsi="Arial"/>
          <w:sz w:val="24"/>
          <w:color w:val="2E75B6"/>
        </w:rPr>
        <w:t xml:space="preserve">A.0 Pre-Scenario Setup</w:t>
      </w:r>
    </w:p>
    <w:p>
      <w:pPr>
        <w:spacing w:after="120" w:line="276"/>
        <w:rPr>
          <w:b/>
          <w:rFonts w:ascii="Arial" w:hAnsi="Arial"/>
          <w:sz w:val="20"/>
        </w:rPr>
      </w:pPr>
      <w:r>
        <w:rPr>
          <w:b/>
          <w:rFonts w:ascii="Arial" w:hAnsi="Arial"/>
          <w:sz w:val="20"/>
        </w:rPr>
        <w:t xml:space="preserve">Before Scenario 2 begins:</w:t>
      </w:r>
    </w:p>
    <w:p>
      <w:pPr>
        <w:spacing w:after="120" w:line="276"/>
        <w:rPr>
          <w:rFonts w:ascii="Arial" w:hAnsi="Arial"/>
          <w:sz w:val="20"/>
        </w:rPr>
      </w:pPr>
      <w:r>
        <w:rPr>
          <w:rFonts w:ascii="Arial" w:hAnsi="Arial"/>
          <w:sz w:val="20"/>
        </w:rPr>
        <w:t xml:space="preserve">1. ROTATE TEAM ROLE CARDS from Scenario 1. Each team member gets a different role. This ensures everyone experiences a different perspective across the two scenarios.</w:t>
      </w:r>
    </w:p>
    <w:p>
      <w:pPr>
        <w:spacing w:after="120" w:line="276"/>
        <w:rPr>
          <w:rFonts w:ascii="Arial" w:hAnsi="Arial"/>
          <w:sz w:val="20"/>
        </w:rPr>
      </w:pPr>
      <w:r>
        <w:rPr>
          <w:rFonts w:ascii="Arial" w:hAnsi="Arial"/>
          <w:sz w:val="20"/>
        </w:rPr>
        <w:t xml:space="preserve">2. DISTRIBUTE THE PRE-FILLED COMMUNICATION TEMPLATE (Section 3 of the Enhancements Pack) to each team alongside the workbook. Teams will use this during the 15:00–15:15 communication drafting exercise.</w:t>
      </w:r>
    </w:p>
    <w:p>
      <w:pPr>
        <w:spacing w:after="120" w:line="276"/>
        <w:rPr>
          <w:rFonts w:ascii="Arial" w:hAnsi="Arial"/>
          <w:sz w:val="20"/>
        </w:rPr>
      </w:pPr>
      <w:r>
        <w:rPr>
          <w:rFonts w:ascii="Arial" w:hAnsi="Arial"/>
          <w:sz w:val="20"/>
        </w:rPr>
        <w:t xml:space="preserve">3. Remind participants: “You have the Risk Assessment Primer from this morning. Use it as a reference.”</w:t>
      </w:r>
    </w:p>
    <w:p>
      <w:pPr>
        <w:pStyle w:val="Heading2"/>
        <w:spacing w:before="280" w:after="160"/>
        <w:rPr>
          <w:b/>
          <w:rFonts w:ascii="Arial" w:hAnsi="Arial"/>
          <w:sz w:val="26"/>
          <w:color w:val="2E75B6"/>
        </w:rPr>
      </w:pPr>
      <w:r>
        <w:rPr>
          <w:b/>
          <w:rFonts w:ascii="Arial" w:hAnsi="Arial"/>
          <w:sz w:val="26"/>
          <w:color w:val="2E75B6"/>
        </w:rPr>
        <w:t xml:space="preserve">A.6 Post-Session Assessment</w:t>
      </w:r>
    </w:p>
    <w:p>
      <w:pPr>
        <w:spacing w:after="120" w:line="276"/>
        <w:rPr>
          <w:rFonts w:ascii="Arial" w:hAnsi="Arial"/>
          <w:sz w:val="20"/>
        </w:rPr>
      </w:pPr>
      <w:r>
        <w:rPr>
          <w:rFonts w:ascii="Arial" w:hAnsi="Arial"/>
          <w:sz w:val="20"/>
        </w:rPr>
        <w:t xml:space="preserve">After the session, use the Scenario 2 Scoring Rubric (Section 4.2 of the Enhancements Pack) to assess each team’s workbook. The rubric covers 8 criteria on a 3-point scale (reflecting this scenario’s greater complexity). Record scores for the AAR.</w:t>
      </w:r>
    </w:p>
    <w:p>
      <w:pPr>
        <w:spacing w:after="40"/>
        <w:ind w:left="360"/>
      </w:pPr>
      <w:r>
        <w:rPr>
          <w:rFonts w:ascii="Arial" w:cs="Arial" w:eastAsia="Arial" w:hAnsi="Arial"/>
          <w:sz w:val="20"/>
          <w:szCs w:val="20"/>
        </w:rPr>
        <w:t xml:space="preserve">A.1 Session Overview &amp; Timing</w:t>
      </w:r>
    </w:p>
    <w:p>
      <w:pPr>
        <w:spacing w:after="40"/>
        <w:ind w:left="360"/>
      </w:pPr>
      <w:r>
        <w:rPr>
          <w:rFonts w:ascii="Arial" w:cs="Arial" w:eastAsia="Arial" w:hAnsi="Arial"/>
          <w:sz w:val="20"/>
          <w:szCs w:val="20"/>
        </w:rPr>
        <w:t xml:space="preserve">A.2 Setup Checklist</w:t>
      </w:r>
    </w:p>
    <w:p>
      <w:pPr>
        <w:spacing w:after="40"/>
        <w:ind w:left="360"/>
      </w:pPr>
      <w:r>
        <w:rPr>
          <w:rFonts w:ascii="Arial" w:cs="Arial" w:eastAsia="Arial" w:hAnsi="Arial"/>
          <w:sz w:val="20"/>
          <w:szCs w:val="20"/>
        </w:rPr>
        <w:t xml:space="preserve">A.3 Facilitation Notes &amp; Watch Points</w:t>
      </w:r>
    </w:p>
    <w:p>
      <w:pPr>
        <w:spacing w:after="40"/>
        <w:ind w:left="360"/>
      </w:pPr>
      <w:r>
        <w:rPr>
          <w:rFonts w:ascii="Arial" w:cs="Arial" w:eastAsia="Arial" w:hAnsi="Arial"/>
          <w:sz w:val="20"/>
          <w:szCs w:val="20"/>
        </w:rPr>
        <w:t xml:space="preserve">A.4 Inject Card Instructions</w:t>
      </w:r>
    </w:p>
    <w:p>
      <w:pPr>
        <w:spacing w:after="40"/>
        <w:ind w:left="360"/>
      </w:pPr>
      <w:r>
        <w:rPr>
          <w:rFonts w:ascii="Arial" w:cs="Arial" w:eastAsia="Arial" w:hAnsi="Arial"/>
          <w:sz w:val="20"/>
          <w:szCs w:val="20"/>
        </w:rPr>
        <w:t xml:space="preserve">A.5 Practical Examples Session Guide</w:t>
      </w:r>
    </w:p>
    <w:p>
      <w:pPr>
        <w:spacing w:after="60"/>
      </w:pPr>
    </w:p>
    <w:p>
      <w:pPr>
        <w:spacing w:after="40"/>
        <w:ind w:left="0"/>
      </w:pPr>
      <w:r>
        <w:rPr>
          <w:rFonts w:ascii="Arial" w:cs="Arial" w:eastAsia="Arial" w:hAnsi="Arial"/>
          <w:b/>
          <w:bCs/>
          <w:sz w:val="22"/>
          <w:szCs w:val="22"/>
        </w:rPr>
        <w:t xml:space="preserve">Part B: Participant Briefing</w:t>
      </w:r>
    </w:p>
    <w:p>
      <w:pPr>
        <w:spacing w:after="40"/>
        <w:ind w:left="360"/>
      </w:pPr>
      <w:r>
        <w:rPr>
          <w:rFonts w:ascii="Arial" w:cs="Arial" w:eastAsia="Arial" w:hAnsi="Arial"/>
          <w:sz w:val="20"/>
          <w:szCs w:val="20"/>
        </w:rPr>
        <w:t xml:space="preserve">B.1 Context: EUIBA-Alpha, EUIBA-Beta, and CloudVault</w:t>
      </w:r>
    </w:p>
    <w:p>
      <w:pPr>
        <w:spacing w:after="40"/>
        <w:ind w:left="360"/>
      </w:pPr>
      <w:r>
        <w:rPr>
          <w:rFonts w:ascii="Arial" w:cs="Arial" w:eastAsia="Arial" w:hAnsi="Arial"/>
          <w:sz w:val="20"/>
          <w:szCs w:val="20"/>
        </w:rPr>
        <w:t xml:space="preserve">B.2 Incident Description &amp; Timeline</w:t>
      </w:r>
    </w:p>
    <w:p>
      <w:pPr>
        <w:spacing w:after="40"/>
        <w:ind w:left="360"/>
      </w:pPr>
      <w:r>
        <w:rPr>
          <w:rFonts w:ascii="Arial" w:cs="Arial" w:eastAsia="Arial" w:hAnsi="Arial"/>
          <w:sz w:val="20"/>
          <w:szCs w:val="20"/>
        </w:rPr>
        <w:t xml:space="preserve">B.3 Detailed Technical Findings</w:t>
      </w:r>
    </w:p>
    <w:p>
      <w:pPr>
        <w:spacing w:after="60"/>
      </w:pPr>
    </w:p>
    <w:p>
      <w:pPr>
        <w:spacing w:after="40"/>
        <w:ind w:left="0"/>
      </w:pPr>
      <w:r>
        <w:rPr>
          <w:rFonts w:ascii="Arial" w:cs="Arial" w:eastAsia="Arial" w:hAnsi="Arial"/>
          <w:b/>
          <w:bCs/>
          <w:sz w:val="22"/>
          <w:szCs w:val="22"/>
        </w:rPr>
        <w:t xml:space="preserve">Part C: Team Workbook</w:t>
      </w:r>
    </w:p>
    <w:p>
      <w:pPr>
        <w:spacing w:after="40"/>
        <w:ind w:left="360"/>
      </w:pPr>
      <w:r>
        <w:rPr>
          <w:rFonts w:ascii="Arial" w:cs="Arial" w:eastAsia="Arial" w:hAnsi="Arial"/>
          <w:sz w:val="20"/>
          <w:szCs w:val="20"/>
        </w:rPr>
        <w:t xml:space="preserve">C.1 Block 1: Initial Response &amp; Communication</w:t>
      </w:r>
    </w:p>
    <w:p>
      <w:pPr>
        <w:spacing w:after="40"/>
        <w:ind w:left="360"/>
      </w:pPr>
      <w:r>
        <w:rPr>
          <w:rFonts w:ascii="Arial" w:cs="Arial" w:eastAsia="Arial" w:hAnsi="Arial"/>
          <w:sz w:val="20"/>
          <w:szCs w:val="20"/>
        </w:rPr>
        <w:t xml:space="preserve">C.2 Block 2: Personal Data Breach Classification</w:t>
      </w:r>
    </w:p>
    <w:p>
      <w:pPr>
        <w:spacing w:after="40"/>
        <w:ind w:left="360"/>
      </w:pPr>
      <w:r>
        <w:rPr>
          <w:rFonts w:ascii="Arial" w:cs="Arial" w:eastAsia="Arial" w:hAnsi="Arial"/>
          <w:sz w:val="20"/>
          <w:szCs w:val="20"/>
        </w:rPr>
        <w:t xml:space="preserve">C.3 Block 3: Risk Assessment (Risk vs. High Risk)</w:t>
      </w:r>
    </w:p>
    <w:p>
      <w:pPr>
        <w:spacing w:after="40"/>
        <w:ind w:left="360"/>
      </w:pPr>
      <w:r>
        <w:rPr>
          <w:rFonts w:ascii="Arial" w:cs="Arial" w:eastAsia="Arial" w:hAnsi="Arial"/>
          <w:sz w:val="20"/>
          <w:szCs w:val="20"/>
        </w:rPr>
        <w:t xml:space="preserve">C.4 Block 4: External Notification &amp; Communication</w:t>
      </w:r>
    </w:p>
    <w:p>
      <w:pPr>
        <w:spacing w:after="40"/>
        <w:ind w:left="360"/>
      </w:pPr>
      <w:r>
        <w:rPr>
          <w:rFonts w:ascii="Arial" w:cs="Arial" w:eastAsia="Arial" w:hAnsi="Arial"/>
          <w:sz w:val="20"/>
          <w:szCs w:val="20"/>
        </w:rPr>
        <w:t xml:space="preserve">C.5 Risk Assessment Template</w:t>
      </w:r>
    </w:p>
    <w:p>
      <w:pPr>
        <w:spacing w:after="40"/>
        <w:ind w:left="360"/>
      </w:pPr>
      <w:r>
        <w:rPr>
          <w:rFonts w:ascii="Arial" w:cs="Arial" w:eastAsia="Arial" w:hAnsi="Arial"/>
          <w:sz w:val="20"/>
          <w:szCs w:val="20"/>
        </w:rPr>
        <w:t xml:space="preserve">C.6 Data Subject Communication Draft</w:t>
      </w:r>
    </w:p>
    <w:p>
      <w:pPr>
        <w:spacing w:after="60"/>
      </w:pPr>
    </w:p>
    <w:p>
      <w:pPr>
        <w:spacing w:after="40"/>
        <w:ind w:left="0"/>
      </w:pPr>
      <w:r>
        <w:rPr>
          <w:rFonts w:ascii="Arial" w:cs="Arial" w:eastAsia="Arial" w:hAnsi="Arial"/>
          <w:b/>
          <w:bCs/>
          <w:sz w:val="22"/>
          <w:szCs w:val="22"/>
        </w:rPr>
        <w:t xml:space="preserve">Part D: Inject Card</w:t>
      </w:r>
    </w:p>
    <w:p>
      <w:pPr>
        <w:spacing w:after="60"/>
      </w:pPr>
    </w:p>
    <w:p>
      <w:pPr>
        <w:spacing w:after="40"/>
        <w:ind w:left="0"/>
      </w:pPr>
      <w:r>
        <w:rPr>
          <w:rFonts w:ascii="Arial" w:cs="Arial" w:eastAsia="Arial" w:hAnsi="Arial"/>
          <w:b/>
          <w:bCs/>
          <w:sz w:val="22"/>
          <w:szCs w:val="22"/>
        </w:rPr>
        <w:t xml:space="preserve">Part E: Solution Key (Facilitator Only)</w:t>
      </w:r>
    </w:p>
    <w:p>
      <w:pPr>
        <w:spacing w:after="40"/>
        <w:ind w:left="360"/>
      </w:pPr>
      <w:r>
        <w:rPr>
          <w:rFonts w:ascii="Arial" w:cs="Arial" w:eastAsia="Arial" w:hAnsi="Arial"/>
          <w:sz w:val="20"/>
          <w:szCs w:val="20"/>
        </w:rPr>
        <w:t xml:space="preserve">E.1 Model Answers — Block 1</w:t>
      </w:r>
    </w:p>
    <w:p>
      <w:pPr>
        <w:spacing w:after="40"/>
        <w:ind w:left="360"/>
      </w:pPr>
      <w:r>
        <w:rPr>
          <w:rFonts w:ascii="Arial" w:cs="Arial" w:eastAsia="Arial" w:hAnsi="Arial"/>
          <w:sz w:val="20"/>
          <w:szCs w:val="20"/>
        </w:rPr>
        <w:t xml:space="preserve">E.2 Model Answers — Block 2</w:t>
      </w:r>
    </w:p>
    <w:p>
      <w:pPr>
        <w:spacing w:after="40"/>
        <w:ind w:left="360"/>
      </w:pPr>
      <w:r>
        <w:rPr>
          <w:rFonts w:ascii="Arial" w:cs="Arial" w:eastAsia="Arial" w:hAnsi="Arial"/>
          <w:sz w:val="20"/>
          <w:szCs w:val="20"/>
        </w:rPr>
        <w:t xml:space="preserve">E.3 Model Answers — Block 3</w:t>
      </w:r>
    </w:p>
    <w:p>
      <w:pPr>
        <w:spacing w:after="40"/>
        <w:ind w:left="360"/>
      </w:pPr>
      <w:r>
        <w:rPr>
          <w:rFonts w:ascii="Arial" w:cs="Arial" w:eastAsia="Arial" w:hAnsi="Arial"/>
          <w:sz w:val="20"/>
          <w:szCs w:val="20"/>
        </w:rPr>
        <w:t xml:space="preserve">E.4 Model Answers — Block 4</w:t>
      </w:r>
    </w:p>
    <w:p>
      <w:pPr>
        <w:spacing w:after="40"/>
        <w:ind w:left="360"/>
      </w:pPr>
      <w:r>
        <w:rPr>
          <w:rFonts w:ascii="Arial" w:cs="Arial" w:eastAsia="Arial" w:hAnsi="Arial"/>
          <w:sz w:val="20"/>
          <w:szCs w:val="20"/>
        </w:rPr>
        <w:t xml:space="preserve">E.5 Model Risk Assessment</w:t>
      </w:r>
    </w:p>
    <w:p>
      <w:pPr>
        <w:spacing w:after="40"/>
        <w:ind w:left="360"/>
      </w:pPr>
      <w:r>
        <w:rPr>
          <w:rFonts w:ascii="Arial" w:cs="Arial" w:eastAsia="Arial" w:hAnsi="Arial"/>
          <w:sz w:val="20"/>
          <w:szCs w:val="20"/>
        </w:rPr>
        <w:t xml:space="preserve">E.6 Post-Inject Reassessment</w:t>
      </w:r>
    </w:p>
    <w:p>
      <w:r>
        <w:br w:type="page"/>
      </w:r>
    </w:p>
    <w:p>
      <w:pPr>
        <w:pBdr>
          <w:bottom w:val="single" w:color="1F3864" w:sz="4" w:space="4"/>
        </w:pBdr>
        <w:spacing w:before="200" w:after="200"/>
        <w:jc w:val="center"/>
      </w:pPr>
      <w:r>
        <w:rPr>
          <w:rFonts w:ascii="Arial" w:cs="Arial" w:eastAsia="Arial" w:hAnsi="Arial"/>
          <w:b/>
          <w:bCs/>
          <w:color w:val="1F3864"/>
          <w:sz w:val="32"/>
          <w:szCs w:val="32"/>
        </w:rPr>
        <w:t xml:space="preserve">PART A: FACILITATOR GUIDE</w:t>
      </w:r>
    </w:p>
    <w:p>
      <w:pPr>
        <w:spacing w:after="120" w:line="276"/>
      </w:pPr>
      <w:r>
        <w:rPr>
          <w:rFonts w:ascii="Arial" w:cs="Arial" w:eastAsia="Arial" w:hAnsi="Arial"/>
          <w:i/>
          <w:iCs/>
          <w:sz w:val="22"/>
          <w:szCs w:val="22"/>
        </w:rPr>
        <w:t xml:space="preserve">This section is for facilitators only. Do not distribute to participants.</w:t>
      </w:r>
    </w:p>
    <w:p>
      <w:pPr>
        <w:pStyle w:val="Heading2"/>
        <w:spacing w:before="280" w:after="160"/>
      </w:pPr>
      <w:r>
        <w:rPr>
          <w:rFonts w:ascii="Arial" w:cs="Arial" w:eastAsia="Arial" w:hAnsi="Arial"/>
          <w:b/>
          <w:bCs/>
          <w:color w:val="2E75B6"/>
          <w:sz w:val="26"/>
          <w:szCs w:val="26"/>
        </w:rPr>
        <w:t xml:space="preserve">A.1 Session Overview &amp; Timing</w:t>
      </w:r>
    </w:p>
    <w:p>
      <w:pPr>
        <w:spacing w:after="120" w:line="276"/>
      </w:pPr>
      <w:r>
        <w:rPr>
          <w:rFonts w:ascii="Arial" w:cs="Arial" w:eastAsia="Arial" w:hAnsi="Arial"/>
          <w:sz w:val="22"/>
          <w:szCs w:val="22"/>
        </w:rPr>
        <w:t xml:space="preserve">Total allocated time: </w:t>
      </w:r>
      <w:r>
        <w:rPr>
          <w:rFonts w:ascii="Arial" w:cs="Arial" w:eastAsia="Arial" w:hAnsi="Arial"/>
          <w:b/>
          <w:bCs/>
          <w:sz w:val="22"/>
          <w:szCs w:val="22"/>
        </w:rPr>
        <w:t xml:space="preserve">75 minutes</w:t>
      </w:r>
      <w:r>
        <w:rPr>
          <w:rFonts w:ascii="Arial" w:cs="Arial" w:eastAsia="Arial" w:hAnsi="Arial"/>
          <w:sz w:val="22"/>
          <w:szCs w:val="22"/>
        </w:rPr>
        <w:t xml:space="preserve"> (45 min team exercise + 30 min plenary discussion).</w:t>
      </w:r>
    </w:p>
    <w:p>
      <w:pPr>
        <w:spacing w:after="120" w:line="276"/>
      </w:pPr>
      <w:r>
        <w:rPr>
          <w:rFonts w:ascii="Arial" w:cs="Arial" w:eastAsia="Arial" w:hAnsi="Arial"/>
          <w:sz w:val="22"/>
          <w:szCs w:val="22"/>
        </w:rPr>
        <w:t xml:space="preserve">This is the most complex scenario in the PEDRRA programme. It involves multi-party coordination, sensitive data, processor accountability, data retention violations, and a state-sponsored threat actor. Expect the “Risk vs. High Risk” debate to be heated.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000"/>
        <w:gridCol w:w="4326"/>
      </w:tblGrid>
      <w:t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Time</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Activity</w:t>
            </w:r>
          </w:p>
        </w:tc>
        <w:tc>
          <w:tcPr>
            <w:tcW w:type="dxa" w:w="1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Duration</w:t>
            </w:r>
          </w:p>
        </w:tc>
        <w:tc>
          <w:tcPr>
            <w:tcW w:type="dxa" w:w="43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Facilitator Action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T+0:00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Distribute briefing &amp; workbook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min</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Hand out Part B and Part C. Emphasise that this scenario is more complex than Scenario 1.</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T+0:02</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Teams read the scenario</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 min</w:t>
            </w:r>
          </w:p>
        </w:tc>
        <w:tc>
          <w:tcPr>
            <w:tcW w:type="dxa" w:w="43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Allow full reading time. This scenario has more context to absorb. Answer clarifications only.</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T+0:10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Teams work on Block 1 (Initial Response)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 min</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Circulate. Listen for teams that forget the Cybersecurity Regulation obligations (Q2). Push the 72-hour awareness debate (Q4).</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T+0:20</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DELIVER INJECT</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 min</w:t>
            </w:r>
          </w:p>
        </w:tc>
        <w:tc>
          <w:tcPr>
            <w:tcW w:type="dxa" w:w="43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Hand out Part D. Read aloud. Say: “Your forensic analysis team has an update.” Give 2 min to absorb.</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T+0:22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Teams work on Blocks 2–4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 min</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This is the core exercise. Push the “Risk vs. High Risk” debate. Ensure teams address the health status indicator. Watch for teams that skip the Article 35 communication draft (Block 4, Q12).</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T+0:45</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PLENARY DISCUSSION begins</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t>
            </w:r>
          </w:p>
        </w:tc>
        <w:tc>
          <w:tcPr>
            <w:tcW w:type="dxa" w:w="43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Transition. Each team states their verdict.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T+0:45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Verdicts round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min</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Each team: one-sentence verdict. Note on flip chart. Expect split verdicts.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T+0:50</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Health status indicator debate</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 min</w:t>
            </w:r>
          </w:p>
        </w:tc>
        <w:tc>
          <w:tcPr>
            <w:tcW w:type="dxa" w:w="43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Probe: Is a generalised Good/Fair/Poor indicator truly “data concerning health”? EUDPR/GDPR broad interpretation vs. narrow practical reading.</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T+0:58</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 accountability debate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min</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CloudVault’s encryption failure. Can the controller delegate accountability? What about the overdue DPIA review?</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T+1:03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Data retention &amp; undocumented fields</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 min</w:t>
            </w:r>
          </w:p>
        </w:tc>
        <w:tc>
          <w:tcPr>
            <w:tcW w:type="dxa" w:w="43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How does the inject (free-text notes with medical conditions) change things? Separate violation or compounding factor?</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T+1:08</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Key takeaways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min</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Summarise. Core lesson: multiple compounding factors shift the balance. Re-identification risk must account for motivated adversaries.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T+1:13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Wrap up → transition to Practical Examples</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 min</w:t>
            </w:r>
          </w:p>
        </w:tc>
        <w:tc>
          <w:tcPr>
            <w:tcW w:type="dxa" w:w="43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Bridge to the next session.</w:t>
            </w:r>
          </w:p>
        </w:tc>
      </w:tr>
    </w:tbl>
    <w:p>
      <w:pPr>
        <w:pStyle w:val="Heading2"/>
        <w:spacing w:before="280" w:after="160"/>
      </w:pPr>
      <w:r>
        <w:rPr>
          <w:rFonts w:ascii="Arial" w:cs="Arial" w:eastAsia="Arial" w:hAnsi="Arial"/>
          <w:b/>
          <w:bCs/>
          <w:color w:val="2E75B6"/>
          <w:sz w:val="26"/>
          <w:szCs w:val="26"/>
        </w:rPr>
        <w:t xml:space="preserve">A.2 Setup Checklist</w:t>
      </w:r>
    </w:p>
    <w:p>
      <w:pPr>
        <w:spacing w:after="120" w:line="276"/>
      </w:pPr>
      <w:r>
        <w:rPr>
          <w:rFonts w:ascii="Arial" w:cs="Arial" w:eastAsia="Arial" w:hAnsi="Arial"/>
          <w:i/>
          <w:iCs/>
          <w:sz w:val="22"/>
          <w:szCs w:val="22"/>
        </w:rPr>
        <w:t xml:space="preserve">Complete 30 minutes before the session.</w:t>
      </w:r>
    </w:p>
    <w:p>
      <w:pPr>
        <w:spacing w:after="60"/>
      </w:pPr>
      <w:r>
        <w:rPr>
          <w:rFonts w:ascii="Arial" w:cs="Arial" w:eastAsia="Arial" w:hAnsi="Arial"/>
          <w:sz w:val="20"/>
          <w:szCs w:val="20"/>
        </w:rPr>
        <w:t xml:space="preserve">☐ Printed copies of Part B (Participant Briefing): one per participant</w:t>
      </w:r>
    </w:p>
    <w:p>
      <w:pPr>
        <w:spacing w:after="60"/>
      </w:pPr>
      <w:r>
        <w:rPr>
          <w:rFonts w:ascii="Arial" w:cs="Arial" w:eastAsia="Arial" w:hAnsi="Arial"/>
          <w:sz w:val="20"/>
          <w:szCs w:val="20"/>
        </w:rPr>
        <w:t xml:space="preserve">☐ Printed copies of Part C (Team Workbook): one per team</w:t>
      </w:r>
    </w:p>
    <w:p>
      <w:pPr>
        <w:spacing w:after="60"/>
      </w:pPr>
      <w:r>
        <w:rPr>
          <w:rFonts w:ascii="Arial" w:cs="Arial" w:eastAsia="Arial" w:hAnsi="Arial"/>
          <w:sz w:val="20"/>
          <w:szCs w:val="20"/>
        </w:rPr>
        <w:t xml:space="preserve">☐ Printed copies of Part D (Inject Card): one per team (keep aside until T+20)</w:t>
      </w:r>
    </w:p>
    <w:p>
      <w:pPr>
        <w:spacing w:after="60"/>
      </w:pPr>
      <w:r>
        <w:rPr>
          <w:rFonts w:ascii="Arial" w:cs="Arial" w:eastAsia="Arial" w:hAnsi="Arial"/>
          <w:sz w:val="20"/>
          <w:szCs w:val="20"/>
        </w:rPr>
        <w:t xml:space="preserve">☐ Printed copies of Risk Assessment Template (C.5): one per team</w:t>
      </w:r>
    </w:p>
    <w:p>
      <w:pPr>
        <w:spacing w:after="60"/>
      </w:pPr>
      <w:r>
        <w:rPr>
          <w:rFonts w:ascii="Arial" w:cs="Arial" w:eastAsia="Arial" w:hAnsi="Arial"/>
          <w:sz w:val="20"/>
          <w:szCs w:val="20"/>
        </w:rPr>
        <w:t xml:space="preserve">☐ Printed copies of Data Subject Communication template (C.6): one per team</w:t>
      </w:r>
    </w:p>
    <w:p>
      <w:pPr>
        <w:spacing w:after="60"/>
      </w:pPr>
      <w:r>
        <w:rPr>
          <w:rFonts w:ascii="Arial" w:cs="Arial" w:eastAsia="Arial" w:hAnsi="Arial"/>
          <w:sz w:val="20"/>
          <w:szCs w:val="20"/>
        </w:rPr>
        <w:t xml:space="preserve">☐ Flip chart / whiteboard for recording verdicts and mapping the notification chain</w:t>
      </w:r>
    </w:p>
    <w:p>
      <w:pPr>
        <w:spacing w:after="60"/>
      </w:pPr>
      <w:r>
        <w:rPr>
          <w:rFonts w:ascii="Arial" w:cs="Arial" w:eastAsia="Arial" w:hAnsi="Arial"/>
          <w:sz w:val="20"/>
          <w:szCs w:val="20"/>
        </w:rPr>
        <w:t xml:space="preserve">☐ Pens, highlighters, and sticky notes for each team</w:t>
      </w:r>
    </w:p>
    <w:p>
      <w:pPr>
        <w:spacing w:after="60"/>
      </w:pPr>
      <w:r>
        <w:rPr>
          <w:rFonts w:ascii="Arial" w:cs="Arial" w:eastAsia="Arial" w:hAnsi="Arial"/>
          <w:sz w:val="20"/>
          <w:szCs w:val="20"/>
        </w:rPr>
        <w:t xml:space="preserve">☐ Timer visible to facilitator</w:t>
      </w:r>
    </w:p>
    <w:p>
      <w:pPr>
        <w:spacing w:after="60"/>
      </w:pPr>
      <w:r>
        <w:rPr>
          <w:rFonts w:ascii="Arial" w:cs="Arial" w:eastAsia="Arial" w:hAnsi="Arial"/>
          <w:sz w:val="20"/>
          <w:szCs w:val="20"/>
        </w:rPr>
        <w:t xml:space="preserve">☐ Solution Key (Part E) in facilitator’s binder (do NOT distribute)</w:t>
      </w:r>
    </w:p>
    <w:p>
      <w:pPr>
        <w:spacing w:after="60"/>
      </w:pPr>
      <w:r>
        <w:rPr>
          <w:rFonts w:ascii="Arial" w:cs="Arial" w:eastAsia="Arial" w:hAnsi="Arial"/>
          <w:sz w:val="20"/>
          <w:szCs w:val="20"/>
        </w:rPr>
        <w:t xml:space="preserve">☐ Analog Kit ready: printed quiz cards for the Practical Examples session if the app fails</w:t>
      </w:r>
    </w:p>
    <w:p>
      <w:pPr>
        <w:spacing w:after="60"/>
      </w:pPr>
      <w:r>
        <w:rPr>
          <w:rFonts w:ascii="Arial" w:cs="Arial" w:eastAsia="Arial" w:hAnsi="Arial"/>
          <w:sz w:val="20"/>
          <w:szCs w:val="20"/>
        </w:rPr>
        <w:t xml:space="preserve">☐ Reference copy of EDPS Guidelines on personal data breach notification (for facilitator)</w:t>
      </w:r>
    </w:p>
    <w:p>
      <w:pPr>
        <w:pStyle w:val="Heading2"/>
        <w:spacing w:before="280" w:after="160"/>
      </w:pPr>
      <w:r>
        <w:rPr>
          <w:rFonts w:ascii="Arial" w:cs="Arial" w:eastAsia="Arial" w:hAnsi="Arial"/>
          <w:b/>
          <w:bCs/>
          <w:color w:val="2E75B6"/>
          <w:sz w:val="26"/>
          <w:szCs w:val="26"/>
        </w:rPr>
        <w:t xml:space="preserve">A.3 Facilitation Notes &amp; Watch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017" w:sz="4"/>
              <w:left w:val="single" w:color="D4A017" w:sz="1"/>
              <w:bottom w:val="single" w:color="D4A017" w:sz="1"/>
              <w:right w:val="single" w:color="D4A017" w:sz="1"/>
            </w:tcBorders>
            <w:shd w:fill="FFF8E1" w:val="clear"/>
            <w:tcMar>
              <w:top w:type="dxa" w:w="120"/>
              <w:left w:type="dxa" w:w="160"/>
              <w:bottom w:type="dxa" w:w="120"/>
              <w:right w:type="dxa" w:w="160"/>
            </w:tcMar>
          </w:tcPr>
          <w:p>
            <w:pPr>
              <w:spacing w:after="80"/>
            </w:pPr>
            <w:r>
              <w:rPr>
                <w:rFonts w:ascii="Arial" w:cs="Arial" w:eastAsia="Arial" w:hAnsi="Arial"/>
                <w:b/>
                <w:bCs/>
                <w:color w:val="D4A017"/>
                <w:sz w:val="22"/>
                <w:szCs w:val="22"/>
              </w:rPr>
              <w:t xml:space="preserve">⚠ Watch Point 1: The Health Status Indicator Debate</w:t>
            </w:r>
          </w:p>
          <w:p>
            <w:pPr>
              <w:spacing w:after="60" w:line="276"/>
            </w:pPr>
            <w:r>
              <w:rPr>
                <w:rFonts w:ascii="Arial" w:cs="Arial" w:eastAsia="Arial" w:hAnsi="Arial"/>
                <w:sz w:val="20"/>
                <w:szCs w:val="20"/>
              </w:rPr>
              <w:t xml:space="preserve">The health status indicator (Good/Fair/Poor) is the pivotal element. Teams WILL debate whether this constitutes “data concerning health” under Article 10 EUDPR.</w:t>
            </w:r>
          </w:p>
          <w:p>
            <w:pPr>
              <w:spacing w:after="60" w:line="276"/>
            </w:pPr>
            <w:r>
              <w:rPr>
                <w:rFonts w:ascii="Arial" w:cs="Arial" w:eastAsia="Arial" w:hAnsi="Arial"/>
                <w:sz w:val="20"/>
                <w:szCs w:val="20"/>
              </w:rPr>
              <w:t xml:space="preserve"/>
            </w:r>
          </w:p>
          <w:p>
            <w:pPr>
              <w:spacing w:after="60" w:line="276"/>
            </w:pPr>
            <w:r>
              <w:rPr>
                <w:rFonts w:ascii="Arial" w:cs="Arial" w:eastAsia="Arial" w:hAnsi="Arial"/>
                <w:b/>
                <w:bCs/>
                <w:sz w:val="20"/>
                <w:szCs w:val="20"/>
              </w:rPr>
              <w:t xml:space="preserve">The correct position: </w:t>
            </w:r>
            <w:r>
              <w:rPr>
                <w:rFonts w:ascii="Arial" w:cs="Arial" w:eastAsia="Arial" w:hAnsi="Arial"/>
                <w:sz w:val="20"/>
                <w:szCs w:val="20"/>
              </w:rPr>
              <w:t xml:space="preserve">EUDPR/GDPR adopts a BROAD interpretation. Per Recital 35 of the GDPR, “data concerning health” includes data from which information about health status can be inferred. Even a generalised indicator reveals something about the person’s health.</w:t>
            </w:r>
          </w:p>
          <w:p>
            <w:pPr>
              <w:spacing w:after="60" w:line="276"/>
            </w:pPr>
            <w:r>
              <w:rPr>
                <w:rFonts w:ascii="Arial" w:cs="Arial" w:eastAsia="Arial" w:hAnsi="Arial"/>
                <w:sz w:val="20"/>
                <w:szCs w:val="20"/>
              </w:rPr>
              <w:t xml:space="preserve"/>
            </w:r>
          </w:p>
          <w:p>
            <w:pPr>
              <w:spacing w:after="60" w:line="276"/>
            </w:pPr>
            <w:r>
              <w:rPr>
                <w:rFonts w:ascii="Arial" w:cs="Arial" w:eastAsia="Arial" w:hAnsi="Arial"/>
                <w:b/>
                <w:bCs/>
                <w:sz w:val="20"/>
                <w:szCs w:val="20"/>
              </w:rPr>
              <w:t xml:space="preserve">Expect pushback: </w:t>
            </w:r>
            <w:r>
              <w:rPr>
                <w:rFonts w:ascii="Arial" w:cs="Arial" w:eastAsia="Arial" w:hAnsi="Arial"/>
                <w:sz w:val="20"/>
                <w:szCs w:val="20"/>
              </w:rPr>
              <w:t xml:space="preserve">“But it’s pseudonymised!” — yes, but pseudonymisation is not anonymisation. The re-identification key exists (held by EUIBA-Beta). A motivated state-sponsored actor could potentially re-identify individuals through quasi-identifiers.</w:t>
            </w:r>
          </w:p>
          <w:p>
            <w:pPr>
              <w:spacing w:after="60" w:line="276"/>
            </w:pPr>
            <w:r>
              <w:rPr>
                <w:rFonts w:ascii="Arial" w:cs="Arial" w:eastAsia="Arial" w:hAnsi="Arial"/>
                <w:sz w:val="20"/>
                <w:szCs w:val="20"/>
              </w:rPr>
              <w:t xml:space="preserve"/>
            </w:r>
          </w:p>
          <w:p>
            <w:pPr>
              <w:spacing w:after="60" w:line="276"/>
            </w:pPr>
            <w:r>
              <w:rPr>
                <w:rFonts w:ascii="Arial" w:cs="Arial" w:eastAsia="Arial" w:hAnsi="Arial"/>
                <w:sz w:val="20"/>
                <w:szCs w:val="20"/>
              </w:rPr>
              <w:t xml:space="preserve">Let the debate run. This is the learning moment. Intervene only to steer back to the legal text.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017" w:sz="4"/>
              <w:left w:val="single" w:color="D4A017" w:sz="1"/>
              <w:bottom w:val="single" w:color="D4A017" w:sz="1"/>
              <w:right w:val="single" w:color="D4A017" w:sz="1"/>
            </w:tcBorders>
            <w:shd w:fill="FFF8E1" w:val="clear"/>
            <w:tcMar>
              <w:top w:type="dxa" w:w="120"/>
              <w:left w:type="dxa" w:w="160"/>
              <w:bottom w:type="dxa" w:w="120"/>
              <w:right w:type="dxa" w:w="160"/>
            </w:tcMar>
          </w:tcPr>
          <w:p>
            <w:pPr>
              <w:spacing w:after="80"/>
            </w:pPr>
            <w:r>
              <w:rPr>
                <w:rFonts w:ascii="Arial" w:cs="Arial" w:eastAsia="Arial" w:hAnsi="Arial"/>
                <w:b/>
                <w:bCs/>
                <w:color w:val="D4A017"/>
                <w:sz w:val="22"/>
                <w:szCs w:val="22"/>
              </w:rPr>
              <w:t xml:space="preserve">⚠ Watch Point 2: The 72-Hour Clock (Three Candidate Timestamps)</w:t>
            </w:r>
          </w:p>
          <w:p>
            <w:pPr>
              <w:spacing w:after="60" w:line="276"/>
            </w:pPr>
            <w:r>
              <w:rPr>
                <w:rFonts w:ascii="Arial" w:cs="Arial" w:eastAsia="Arial" w:hAnsi="Arial"/>
                <w:sz w:val="20"/>
                <w:szCs w:val="20"/>
              </w:rPr>
              <w:t xml:space="preserve">Question 4 of Block 1 forces teams to pick when the clock starts. Three candidates:</w:t>
            </w:r>
          </w:p>
          <w:p>
            <w:pPr>
              <w:spacing w:after="60" w:line="276"/>
            </w:pPr>
            <w:r>
              <w:rPr>
                <w:rFonts w:ascii="Arial" w:cs="Arial" w:eastAsia="Arial" w:hAnsi="Arial"/>
                <w:sz w:val="20"/>
                <w:szCs w:val="20"/>
              </w:rPr>
              <w:t xml:space="preserve"/>
            </w:r>
          </w:p>
          <w:p>
            <w:pPr>
              <w:spacing w:after="60" w:line="276"/>
            </w:pPr>
            <w:r>
              <w:rPr>
                <w:rFonts w:ascii="Arial" w:cs="Arial" w:eastAsia="Arial" w:hAnsi="Arial"/>
                <w:b/>
                <w:bCs/>
                <w:sz w:val="20"/>
                <w:szCs w:val="20"/>
              </w:rPr>
              <w:t xml:space="preserve">14:00 UTC </w:t>
            </w:r>
            <w:r>
              <w:rPr>
                <w:rFonts w:ascii="Arial" w:cs="Arial" w:eastAsia="Arial" w:hAnsi="Arial"/>
                <w:sz w:val="20"/>
                <w:szCs w:val="20"/>
              </w:rPr>
              <w:t xml:space="preserve">— CERT-EU alert. The controller knows of a major incident at its processor, but not yet that its own data is affected.</w:t>
            </w:r>
          </w:p>
          <w:p>
            <w:pPr>
              <w:spacing w:after="60" w:line="276"/>
            </w:pPr>
            <w:r>
              <w:rPr>
                <w:rFonts w:ascii="Arial" w:cs="Arial" w:eastAsia="Arial" w:hAnsi="Arial"/>
                <w:b/>
                <w:bCs/>
                <w:sz w:val="20"/>
                <w:szCs w:val="20"/>
              </w:rPr>
              <w:t xml:space="preserve">15:30 UTC </w:t>
            </w:r>
            <w:r>
              <w:rPr>
                <w:rFonts w:ascii="Arial" w:cs="Arial" w:eastAsia="Arial" w:hAnsi="Arial"/>
                <w:sz w:val="20"/>
                <w:szCs w:val="20"/>
              </w:rPr>
              <w:t xml:space="preserve">— CloudVault’s direct notification. The processor explicitly tells the controller about the breach.</w:t>
            </w:r>
          </w:p>
          <w:p>
            <w:pPr>
              <w:spacing w:after="60" w:line="276"/>
            </w:pPr>
            <w:r>
              <w:rPr>
                <w:rFonts w:ascii="Arial" w:cs="Arial" w:eastAsia="Arial" w:hAnsi="Arial"/>
                <w:b/>
                <w:bCs/>
                <w:sz w:val="20"/>
                <w:szCs w:val="20"/>
              </w:rPr>
              <w:t xml:space="preserve">19:00 UTC </w:t>
            </w:r>
            <w:r>
              <w:rPr>
                <w:rFonts w:ascii="Arial" w:cs="Arial" w:eastAsia="Arial" w:hAnsi="Arial"/>
                <w:sz w:val="20"/>
                <w:szCs w:val="20"/>
              </w:rPr>
              <w:t xml:space="preserve">— EUIBA-Alpha confirms its specific data was in the affected storage buckets.</w:t>
            </w:r>
          </w:p>
          <w:p>
            <w:pPr>
              <w:spacing w:after="60" w:line="276"/>
            </w:pPr>
            <w:r>
              <w:rPr>
                <w:rFonts w:ascii="Arial" w:cs="Arial" w:eastAsia="Arial" w:hAnsi="Arial"/>
                <w:sz w:val="20"/>
                <w:szCs w:val="20"/>
              </w:rPr>
              <w:t xml:space="preserve"/>
            </w:r>
          </w:p>
          <w:p>
            <w:pPr>
              <w:spacing w:after="60" w:line="276"/>
            </w:pPr>
            <w:r>
              <w:rPr>
                <w:rFonts w:ascii="Arial" w:cs="Arial" w:eastAsia="Arial" w:hAnsi="Arial"/>
                <w:b/>
                <w:bCs/>
                <w:sz w:val="20"/>
                <w:szCs w:val="20"/>
              </w:rPr>
              <w:t xml:space="preserve">Most defensible: 15:30 UTC. </w:t>
            </w:r>
            <w:r>
              <w:rPr>
                <w:rFonts w:ascii="Arial" w:cs="Arial" w:eastAsia="Arial" w:hAnsi="Arial"/>
                <w:sz w:val="20"/>
                <w:szCs w:val="20"/>
              </w:rPr>
              <w:t xml:space="preserve">At this point the controller has been directly informed by its processor that the breach affects their infrastructure. Even without confirmed data scope, the controller should have “reasonable certainty” that personal data may be compromised.</w:t>
            </w:r>
          </w:p>
          <w:p>
            <w:pPr>
              <w:spacing w:after="60" w:line="276"/>
            </w:pPr>
            <w:r>
              <w:rPr>
                <w:rFonts w:ascii="Arial" w:cs="Arial" w:eastAsia="Arial" w:hAnsi="Arial"/>
                <w:sz w:val="20"/>
                <w:szCs w:val="20"/>
              </w:rPr>
              <w:t xml:space="preserve"/>
            </w:r>
          </w:p>
          <w:p>
            <w:pPr>
              <w:spacing w:after="60" w:line="276"/>
            </w:pPr>
            <w:r>
              <w:rPr>
                <w:rFonts w:ascii="Arial" w:cs="Arial" w:eastAsia="Arial" w:hAnsi="Arial"/>
                <w:i/>
                <w:iCs/>
                <w:sz w:val="20"/>
                <w:szCs w:val="20"/>
              </w:rPr>
              <w:t xml:space="preserve">Acceptable alternative: 19:00 UTC, if the team argues that 15:30 gave knowledge of a processor breach but not confirmation that EUIBA-Alpha’s specific data was affected. This is defensible but riskier.</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017" w:sz="4"/>
              <w:left w:val="single" w:color="D4A017" w:sz="1"/>
              <w:bottom w:val="single" w:color="D4A017" w:sz="1"/>
              <w:right w:val="single" w:color="D4A017" w:sz="1"/>
            </w:tcBorders>
            <w:shd w:fill="FFF8E1" w:val="clear"/>
            <w:tcMar>
              <w:top w:type="dxa" w:w="120"/>
              <w:left w:type="dxa" w:w="160"/>
              <w:bottom w:type="dxa" w:w="120"/>
              <w:right w:type="dxa" w:w="160"/>
            </w:tcMar>
          </w:tcPr>
          <w:p>
            <w:pPr>
              <w:spacing w:after="80"/>
            </w:pPr>
            <w:r>
              <w:rPr>
                <w:rFonts w:ascii="Arial" w:cs="Arial" w:eastAsia="Arial" w:hAnsi="Arial"/>
                <w:b/>
                <w:bCs/>
                <w:color w:val="D4A017"/>
                <w:sz w:val="22"/>
                <w:szCs w:val="22"/>
              </w:rPr>
              <w:t xml:space="preserve">⚠ Watch Point 3: Pseudonymisation Is Not Anonymisation</w:t>
            </w:r>
          </w:p>
          <w:p>
            <w:pPr>
              <w:spacing w:after="60" w:line="276"/>
            </w:pPr>
            <w:r>
              <w:rPr>
                <w:rFonts w:ascii="Arial" w:cs="Arial" w:eastAsia="Arial" w:hAnsi="Arial"/>
                <w:sz w:val="20"/>
                <w:szCs w:val="20"/>
              </w:rPr>
              <w:t xml:space="preserve">Many teams will over-rely on pseudonymisation as a shield. Key points to probe:</w:t>
            </w:r>
          </w:p>
          <w:p>
            <w:pPr>
              <w:spacing w:after="60" w:line="276"/>
            </w:pPr>
            <w:r>
              <w:rPr>
                <w:rFonts w:ascii="Arial" w:cs="Arial" w:eastAsia="Arial" w:hAnsi="Arial"/>
                <w:sz w:val="20"/>
                <w:szCs w:val="20"/>
              </w:rPr>
              <w:t xml:space="preserve"/>
            </w:r>
          </w:p>
          <w:p>
            <w:pPr>
              <w:spacing w:after="60" w:line="276"/>
            </w:pPr>
            <w:r>
              <w:rPr>
                <w:rFonts w:ascii="Arial" w:cs="Arial" w:eastAsia="Arial" w:hAnsi="Arial"/>
                <w:b/>
                <w:bCs/>
                <w:sz w:val="20"/>
                <w:szCs w:val="20"/>
              </w:rPr>
              <w:t xml:space="preserve">• </w:t>
            </w:r>
            <w:r>
              <w:rPr>
                <w:rFonts w:ascii="Arial" w:cs="Arial" w:eastAsia="Arial" w:hAnsi="Arial"/>
                <w:sz w:val="20"/>
                <w:szCs w:val="20"/>
              </w:rPr>
              <w:t xml:space="preserve">The re-identification key exists and could theoretically be obtained (though EUIBA-Beta’s systems are not compromised).</w:t>
            </w:r>
          </w:p>
          <w:p>
            <w:pPr>
              <w:spacing w:after="60" w:line="276"/>
            </w:pPr>
            <w:r>
              <w:rPr>
                <w:rFonts w:ascii="Arial" w:cs="Arial" w:eastAsia="Arial" w:hAnsi="Arial"/>
                <w:b/>
                <w:bCs/>
                <w:sz w:val="20"/>
                <w:szCs w:val="20"/>
              </w:rPr>
              <w:t xml:space="preserve">• </w:t>
            </w:r>
            <w:r>
              <w:rPr>
                <w:rFonts w:ascii="Arial" w:cs="Arial" w:eastAsia="Arial" w:hAnsi="Arial"/>
                <w:sz w:val="20"/>
                <w:szCs w:val="20"/>
              </w:rPr>
              <w:t xml:space="preserve">A state-sponsored actor with advanced capabilities may attempt re-identification through quasi-identifiers (age group + gender + country).</w:t>
            </w:r>
          </w:p>
          <w:p>
            <w:pPr>
              <w:spacing w:after="60" w:line="276"/>
            </w:pPr>
            <w:r>
              <w:rPr>
                <w:rFonts w:ascii="Arial" w:cs="Arial" w:eastAsia="Arial" w:hAnsi="Arial"/>
                <w:b/>
                <w:bCs/>
                <w:sz w:val="20"/>
                <w:szCs w:val="20"/>
              </w:rPr>
              <w:t xml:space="preserve">• </w:t>
            </w:r>
            <w:r>
              <w:rPr>
                <w:rFonts w:ascii="Arial" w:cs="Arial" w:eastAsia="Arial" w:hAnsi="Arial"/>
                <w:sz w:val="20"/>
                <w:szCs w:val="20"/>
              </w:rPr>
              <w:t xml:space="preserve">Research shows that combinations of 3+ demographic attributes can re-identify individuals with high accuracy, especially for smaller Member States.</w:t>
            </w:r>
          </w:p>
          <w:p>
            <w:pPr>
              <w:spacing w:after="60" w:line="276"/>
            </w:pPr>
            <w:r>
              <w:rPr>
                <w:rFonts w:ascii="Arial" w:cs="Arial" w:eastAsia="Arial" w:hAnsi="Arial"/>
                <w:b/>
                <w:bCs/>
                <w:sz w:val="20"/>
                <w:szCs w:val="20"/>
              </w:rPr>
              <w:t xml:space="preserve">• </w:t>
            </w:r>
            <w:r>
              <w:rPr>
                <w:rFonts w:ascii="Arial" w:cs="Arial" w:eastAsia="Arial" w:hAnsi="Arial"/>
                <w:sz w:val="20"/>
                <w:szCs w:val="20"/>
              </w:rPr>
              <w:t xml:space="preserve">EUDPR treats pseudonymised data as personal data (Recital 17 GDPR).</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017" w:sz="4"/>
              <w:left w:val="single" w:color="D4A017" w:sz="1"/>
              <w:bottom w:val="single" w:color="D4A017" w:sz="1"/>
              <w:right w:val="single" w:color="D4A017" w:sz="1"/>
            </w:tcBorders>
            <w:shd w:fill="FFF8E1" w:val="clear"/>
            <w:tcMar>
              <w:top w:type="dxa" w:w="120"/>
              <w:left w:type="dxa" w:w="160"/>
              <w:bottom w:type="dxa" w:w="120"/>
              <w:right w:type="dxa" w:w="160"/>
            </w:tcMar>
          </w:tcPr>
          <w:p>
            <w:pPr>
              <w:spacing w:after="80"/>
            </w:pPr>
            <w:r>
              <w:rPr>
                <w:rFonts w:ascii="Arial" w:cs="Arial" w:eastAsia="Arial" w:hAnsi="Arial"/>
                <w:b/>
                <w:bCs/>
                <w:color w:val="D4A017"/>
                <w:sz w:val="22"/>
                <w:szCs w:val="22"/>
              </w:rPr>
              <w:t xml:space="preserve">⚠ Watch Point 4: Processor Accountability — “Not Our Fault”</w:t>
            </w:r>
          </w:p>
          <w:p>
            <w:pPr>
              <w:spacing w:after="60" w:line="276"/>
            </w:pPr>
            <w:r>
              <w:rPr>
                <w:rFonts w:ascii="Arial" w:cs="Arial" w:eastAsia="Arial" w:hAnsi="Arial"/>
                <w:sz w:val="20"/>
                <w:szCs w:val="20"/>
              </w:rPr>
              <w:t xml:space="preserve">Some teams will argue that the encryption failure is CloudVault’s fault, not EUIBA-Alpha’s.</w:t>
            </w:r>
          </w:p>
          <w:p>
            <w:pPr>
              <w:spacing w:after="60" w:line="276"/>
            </w:pPr>
            <w:r>
              <w:rPr>
                <w:rFonts w:ascii="Arial" w:cs="Arial" w:eastAsia="Arial" w:hAnsi="Arial"/>
                <w:sz w:val="20"/>
                <w:szCs w:val="20"/>
              </w:rPr>
              <w:t xml:space="preserve"/>
            </w:r>
          </w:p>
          <w:p>
            <w:pPr>
              <w:spacing w:after="60" w:line="276"/>
            </w:pPr>
            <w:r>
              <w:rPr>
                <w:rFonts w:ascii="Arial" w:cs="Arial" w:eastAsia="Arial" w:hAnsi="Arial"/>
                <w:b/>
                <w:bCs/>
                <w:sz w:val="20"/>
                <w:szCs w:val="20"/>
              </w:rPr>
              <w:t xml:space="preserve">Push back: </w:t>
            </w:r>
            <w:r>
              <w:rPr>
                <w:rFonts w:ascii="Arial" w:cs="Arial" w:eastAsia="Arial" w:hAnsi="Arial"/>
                <w:sz w:val="20"/>
                <w:szCs w:val="20"/>
              </w:rPr>
              <w:t xml:space="preserve">The controller chose CloudVault, signed the DPA, and has an obligation to verify compliance. The DPIA (overdue for review by a year) should have triggered a reassessment of processor security. The missing encryption raises questions about due diligence.</w:t>
            </w:r>
          </w:p>
          <w:p>
            <w:pPr>
              <w:spacing w:after="60" w:line="276"/>
            </w:pPr>
            <w:r>
              <w:rPr>
                <w:rFonts w:ascii="Arial" w:cs="Arial" w:eastAsia="Arial" w:hAnsi="Arial"/>
                <w:sz w:val="20"/>
                <w:szCs w:val="20"/>
              </w:rPr>
              <w:t xml:space="preserve"/>
            </w:r>
          </w:p>
          <w:p>
            <w:pPr>
              <w:spacing w:after="60" w:line="276"/>
            </w:pPr>
            <w:r>
              <w:rPr>
                <w:rFonts w:ascii="Arial" w:cs="Arial" w:eastAsia="Arial" w:hAnsi="Arial"/>
                <w:b/>
                <w:bCs/>
                <w:sz w:val="20"/>
                <w:szCs w:val="20"/>
              </w:rPr>
              <w:t xml:space="preserve">Key teaching point: </w:t>
            </w:r>
            <w:r>
              <w:rPr>
                <w:rFonts w:ascii="Arial" w:cs="Arial" w:eastAsia="Arial" w:hAnsi="Arial"/>
                <w:sz w:val="20"/>
                <w:szCs w:val="20"/>
              </w:rPr>
              <w:t xml:space="preserve">A controller cannot fully delegate accountability. Article 29 EUDPR imposes obligations on both parties. The processor’s failure compounds the controller’s own accountability gap.</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017" w:sz="4"/>
              <w:left w:val="single" w:color="D4A017" w:sz="1"/>
              <w:bottom w:val="single" w:color="D4A017" w:sz="1"/>
              <w:right w:val="single" w:color="D4A017" w:sz="1"/>
            </w:tcBorders>
            <w:shd w:fill="FFF8E1" w:val="clear"/>
            <w:tcMar>
              <w:top w:type="dxa" w:w="120"/>
              <w:left w:type="dxa" w:w="160"/>
              <w:bottom w:type="dxa" w:w="120"/>
              <w:right w:type="dxa" w:w="160"/>
            </w:tcMar>
          </w:tcPr>
          <w:p>
            <w:pPr>
              <w:spacing w:after="80"/>
            </w:pPr>
            <w:r>
              <w:rPr>
                <w:rFonts w:ascii="Arial" w:cs="Arial" w:eastAsia="Arial" w:hAnsi="Arial"/>
                <w:b/>
                <w:bCs/>
                <w:color w:val="D4A017"/>
                <w:sz w:val="22"/>
                <w:szCs w:val="22"/>
              </w:rPr>
              <w:t xml:space="preserve">⚠ Watch Point 5: Data Retention Oversight</w:t>
            </w:r>
          </w:p>
          <w:p>
            <w:pPr>
              <w:spacing w:after="60" w:line="276"/>
            </w:pPr>
            <w:r>
              <w:rPr>
                <w:rFonts w:ascii="Arial" w:cs="Arial" w:eastAsia="Arial" w:hAnsi="Arial"/>
                <w:sz w:val="20"/>
                <w:szCs w:val="20"/>
              </w:rPr>
              <w:t xml:space="preserve">The 7-year-old pilot data (2 years beyond retention) is a pre-existing violation that the breach has exposed.</w:t>
            </w:r>
          </w:p>
          <w:p>
            <w:pPr>
              <w:spacing w:after="60" w:line="276"/>
            </w:pPr>
            <w:r>
              <w:rPr>
                <w:rFonts w:ascii="Arial" w:cs="Arial" w:eastAsia="Arial" w:hAnsi="Arial"/>
                <w:b/>
                <w:bCs/>
                <w:sz w:val="20"/>
                <w:szCs w:val="20"/>
              </w:rPr>
              <w:t xml:space="preserve">• </w:t>
            </w:r>
            <w:r>
              <w:rPr>
                <w:rFonts w:ascii="Arial" w:cs="Arial" w:eastAsia="Arial" w:hAnsi="Arial"/>
                <w:sz w:val="20"/>
                <w:szCs w:val="20"/>
              </w:rPr>
              <w:t xml:space="preserve">This is a separate violation of the storage limitation principle (Art. 4(1)(e) EUDPR).</w:t>
            </w:r>
          </w:p>
          <w:p>
            <w:pPr>
              <w:spacing w:after="60" w:line="276"/>
            </w:pPr>
            <w:r>
              <w:rPr>
                <w:rFonts w:ascii="Arial" w:cs="Arial" w:eastAsia="Arial" w:hAnsi="Arial"/>
                <w:b/>
                <w:bCs/>
                <w:sz w:val="20"/>
                <w:szCs w:val="20"/>
              </w:rPr>
              <w:t xml:space="preserve">• </w:t>
            </w:r>
            <w:r>
              <w:rPr>
                <w:rFonts w:ascii="Arial" w:cs="Arial" w:eastAsia="Arial" w:hAnsi="Arial"/>
                <w:sz w:val="20"/>
                <w:szCs w:val="20"/>
              </w:rPr>
              <w:t xml:space="preserve">It compounds the breach: more data was exposed than should have existed.</w:t>
            </w:r>
          </w:p>
          <w:p>
            <w:pPr>
              <w:spacing w:after="60" w:line="276"/>
            </w:pPr>
            <w:r>
              <w:rPr>
                <w:rFonts w:ascii="Arial" w:cs="Arial" w:eastAsia="Arial" w:hAnsi="Arial"/>
                <w:b/>
                <w:bCs/>
                <w:sz w:val="20"/>
                <w:szCs w:val="20"/>
              </w:rPr>
              <w:t xml:space="preserve">• </w:t>
            </w:r>
            <w:r>
              <w:rPr>
                <w:rFonts w:ascii="Arial" w:cs="Arial" w:eastAsia="Arial" w:hAnsi="Arial"/>
                <w:sz w:val="20"/>
                <w:szCs w:val="20"/>
              </w:rPr>
              <w:t xml:space="preserve">It must be addressed in the EDPS notification as an additional finding.</w:t>
            </w:r>
          </w:p>
          <w:p>
            <w:pPr>
              <w:spacing w:after="60" w:line="276"/>
            </w:pPr>
            <w:r>
              <w:rPr>
                <w:rFonts w:ascii="Arial" w:cs="Arial" w:eastAsia="Arial" w:hAnsi="Arial"/>
                <w:b/>
                <w:bCs/>
                <w:sz w:val="20"/>
                <w:szCs w:val="20"/>
              </w:rPr>
              <w:t xml:space="preserve">• </w:t>
            </w:r>
            <w:r>
              <w:rPr>
                <w:rFonts w:ascii="Arial" w:cs="Arial" w:eastAsia="Arial" w:hAnsi="Arial"/>
                <w:sz w:val="20"/>
                <w:szCs w:val="20"/>
              </w:rPr>
              <w:t xml:space="preserve">The automated deletion script failure suggests systemic data governance weaknesses.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017" w:sz="4"/>
              <w:left w:val="single" w:color="D4A017" w:sz="1"/>
              <w:bottom w:val="single" w:color="D4A017" w:sz="1"/>
              <w:right w:val="single" w:color="D4A017" w:sz="1"/>
            </w:tcBorders>
            <w:shd w:fill="FFF8E1" w:val="clear"/>
            <w:tcMar>
              <w:top w:type="dxa" w:w="120"/>
              <w:left w:type="dxa" w:w="160"/>
              <w:bottom w:type="dxa" w:w="120"/>
              <w:right w:type="dxa" w:w="160"/>
            </w:tcMar>
          </w:tcPr>
          <w:p>
            <w:pPr>
              <w:spacing w:after="80"/>
            </w:pPr>
            <w:r>
              <w:rPr>
                <w:rFonts w:ascii="Arial" w:cs="Arial" w:eastAsia="Arial" w:hAnsi="Arial"/>
                <w:b/>
                <w:bCs/>
                <w:color w:val="D4A017"/>
                <w:sz w:val="22"/>
                <w:szCs w:val="22"/>
              </w:rPr>
              <w:t xml:space="preserve">⚠ Watch Point 6: Post-Inject Escalation (Free-Text Notes)</w:t>
            </w:r>
          </w:p>
          <w:p>
            <w:pPr>
              <w:spacing w:after="60" w:line="276"/>
            </w:pPr>
            <w:r>
              <w:rPr>
                <w:rFonts w:ascii="Arial" w:cs="Arial" w:eastAsia="Arial" w:hAnsi="Arial"/>
                <w:sz w:val="20"/>
                <w:szCs w:val="20"/>
              </w:rPr>
              <w:t xml:space="preserve">The inject reveals 500 records with undocumented free-text notes containing medical conditions, disability status, and political opinions.</w:t>
            </w:r>
          </w:p>
          <w:p>
            <w:pPr>
              <w:spacing w:after="60" w:line="276"/>
            </w:pPr>
            <w:r>
              <w:rPr>
                <w:rFonts w:ascii="Arial" w:cs="Arial" w:eastAsia="Arial" w:hAnsi="Arial"/>
                <w:sz w:val="20"/>
                <w:szCs w:val="20"/>
              </w:rPr>
              <w:t xml:space="preserve"/>
            </w:r>
          </w:p>
          <w:p>
            <w:pPr>
              <w:spacing w:after="60" w:line="276"/>
            </w:pPr>
            <w:r>
              <w:rPr>
                <w:rFonts w:ascii="Arial" w:cs="Arial" w:eastAsia="Arial" w:hAnsi="Arial"/>
                <w:b/>
                <w:bCs/>
                <w:sz w:val="20"/>
                <w:szCs w:val="20"/>
              </w:rPr>
              <w:t xml:space="preserve">This is the tipping point. </w:t>
            </w:r>
            <w:r>
              <w:rPr>
                <w:rFonts w:ascii="Arial" w:cs="Arial" w:eastAsia="Arial" w:hAnsi="Arial"/>
                <w:sz w:val="20"/>
                <w:szCs w:val="20"/>
              </w:rPr>
              <w:t xml:space="preserve">Before the inject, the “Risk vs. High Risk” debate is genuine. After the inject, the case for High Risk becomes very strong:</w:t>
            </w:r>
          </w:p>
          <w:p>
            <w:pPr>
              <w:spacing w:after="60" w:line="276"/>
            </w:pPr>
            <w:r>
              <w:rPr>
                <w:rFonts w:ascii="Arial" w:cs="Arial" w:eastAsia="Arial" w:hAnsi="Arial"/>
                <w:b/>
                <w:bCs/>
                <w:sz w:val="20"/>
                <w:szCs w:val="20"/>
              </w:rPr>
              <w:t xml:space="preserve">• </w:t>
            </w:r>
            <w:r>
              <w:rPr>
                <w:rFonts w:ascii="Arial" w:cs="Arial" w:eastAsia="Arial" w:hAnsi="Arial"/>
                <w:sz w:val="20"/>
                <w:szCs w:val="20"/>
              </w:rPr>
              <w:t xml:space="preserve">Undocumented Article 10 special categories (health, political opinions) were processed without basis.</w:t>
            </w:r>
          </w:p>
          <w:p>
            <w:pPr>
              <w:spacing w:after="60" w:line="276"/>
            </w:pPr>
            <w:r>
              <w:rPr>
                <w:rFonts w:ascii="Arial" w:cs="Arial" w:eastAsia="Arial" w:hAnsi="Arial"/>
                <w:b/>
                <w:bCs/>
                <w:sz w:val="20"/>
                <w:szCs w:val="20"/>
              </w:rPr>
              <w:t xml:space="preserve">• </w:t>
            </w:r>
            <w:r>
              <w:rPr>
                <w:rFonts w:ascii="Arial" w:cs="Arial" w:eastAsia="Arial" w:hAnsi="Arial"/>
                <w:sz w:val="20"/>
                <w:szCs w:val="20"/>
              </w:rPr>
              <w:t xml:space="preserve">These were not in the RoPA or the DPIA — a separate accountability failure.</w:t>
            </w:r>
          </w:p>
          <w:p>
            <w:pPr>
              <w:spacing w:after="60" w:line="276"/>
            </w:pPr>
            <w:r>
              <w:rPr>
                <w:rFonts w:ascii="Arial" w:cs="Arial" w:eastAsia="Arial" w:hAnsi="Arial"/>
                <w:b/>
                <w:bCs/>
                <w:sz w:val="20"/>
                <w:szCs w:val="20"/>
              </w:rPr>
              <w:t xml:space="preserve">• </w:t>
            </w:r>
            <w:r>
              <w:rPr>
                <w:rFonts w:ascii="Arial" w:cs="Arial" w:eastAsia="Arial" w:hAnsi="Arial"/>
                <w:sz w:val="20"/>
                <w:szCs w:val="20"/>
              </w:rPr>
              <w:t xml:space="preserve">Even with pseudonymisation, specific medical conditions + demographic data significantly increase re-identification risk.</w:t>
            </w:r>
          </w:p>
          <w:p>
            <w:pPr>
              <w:spacing w:after="60" w:line="276"/>
            </w:pPr>
            <w:r>
              <w:rPr>
                <w:rFonts w:ascii="Arial" w:cs="Arial" w:eastAsia="Arial" w:hAnsi="Arial"/>
                <w:sz w:val="20"/>
                <w:szCs w:val="20"/>
              </w:rPr>
              <w:t xml:space="preserve"/>
            </w:r>
          </w:p>
          <w:p>
            <w:pPr>
              <w:spacing w:after="60" w:line="276"/>
            </w:pPr>
            <w:r>
              <w:rPr>
                <w:rFonts w:ascii="Arial" w:cs="Arial" w:eastAsia="Arial" w:hAnsi="Arial"/>
                <w:sz w:val="20"/>
                <w:szCs w:val="20"/>
              </w:rPr>
              <w:t xml:space="preserve">Watch for teams that had firmly argued “Risk” — they must now reassess under new evidence. This simulates a real-world evolving breach investigation.</w:t>
            </w:r>
          </w:p>
        </w:tc>
      </w:tr>
    </w:tbl>
    <w:p>
      <w:pPr>
        <w:pStyle w:val="Heading2"/>
        <w:spacing w:before="280" w:after="160"/>
      </w:pPr>
      <w:r>
        <w:rPr>
          <w:rFonts w:ascii="Arial" w:cs="Arial" w:eastAsia="Arial" w:hAnsi="Arial"/>
          <w:b/>
          <w:bCs/>
          <w:color w:val="2E75B6"/>
          <w:sz w:val="26"/>
          <w:szCs w:val="26"/>
        </w:rPr>
        <w:t xml:space="preserve">A.4 Inject Card Instructions</w:t>
      </w:r>
    </w:p>
    <w:p>
      <w:pPr>
        <w:spacing w:after="120" w:line="276"/>
      </w:pPr>
      <w:r>
        <w:rPr>
          <w:rFonts w:ascii="Arial" w:cs="Arial" w:eastAsia="Arial" w:hAnsi="Arial"/>
          <w:b/>
          <w:bCs/>
          <w:sz w:val="22"/>
          <w:szCs w:val="22"/>
        </w:rPr>
        <w:t xml:space="preserve">When: </w:t>
      </w:r>
      <w:r>
        <w:rPr>
          <w:rFonts w:ascii="Arial" w:cs="Arial" w:eastAsia="Arial" w:hAnsi="Arial"/>
          <w:sz w:val="22"/>
          <w:szCs w:val="22"/>
        </w:rPr>
        <w:t xml:space="preserve">Exactly 20 minutes after teams begin working (T+0:20).</w:t>
      </w:r>
    </w:p>
    <w:p>
      <w:pPr>
        <w:spacing w:after="120" w:line="276"/>
      </w:pPr>
      <w:r>
        <w:rPr>
          <w:rFonts w:ascii="Arial" w:cs="Arial" w:eastAsia="Arial" w:hAnsi="Arial"/>
          <w:b/>
          <w:bCs/>
          <w:sz w:val="22"/>
          <w:szCs w:val="22"/>
        </w:rPr>
        <w:t xml:space="preserve">How: </w:t>
      </w:r>
      <w:r>
        <w:rPr>
          <w:rFonts w:ascii="Arial" w:cs="Arial" w:eastAsia="Arial" w:hAnsi="Arial"/>
          <w:sz w:val="22"/>
          <w:szCs w:val="22"/>
        </w:rPr>
        <w:t xml:space="preserve">Hand one Inject Card (Part D) to each team. Read it aloud. Say: “Your forensic analysis team has completed a deeper review. Please read the card and consider whether this changes your assessment.”</w:t>
      </w:r>
    </w:p>
    <w:p>
      <w:pPr>
        <w:spacing w:after="120" w:line="276"/>
      </w:pPr>
      <w:r>
        <w:rPr>
          <w:rFonts w:ascii="Arial" w:cs="Arial" w:eastAsia="Arial" w:hAnsi="Arial"/>
          <w:b/>
          <w:bCs/>
          <w:sz w:val="22"/>
          <w:szCs w:val="22"/>
        </w:rPr>
        <w:t xml:space="preserve">Then: </w:t>
      </w:r>
      <w:r>
        <w:rPr>
          <w:rFonts w:ascii="Arial" w:cs="Arial" w:eastAsia="Arial" w:hAnsi="Arial"/>
          <w:sz w:val="22"/>
          <w:szCs w:val="22"/>
        </w:rPr>
        <w:t xml:space="preserve">Give teams 2 minutes to absorb, then resume. Teams should incorporate the new information. Expect the room to get louder — this inject is designed to shift assessments.</w:t>
      </w:r>
    </w:p>
    <w:p>
      <w:pPr>
        <w:pStyle w:val="Heading2"/>
        <w:spacing w:before="280" w:after="160"/>
      </w:pPr>
      <w:r>
        <w:rPr>
          <w:rFonts w:ascii="Arial" w:cs="Arial" w:eastAsia="Arial" w:hAnsi="Arial"/>
          <w:b/>
          <w:bCs/>
          <w:color w:val="2E75B6"/>
          <w:sz w:val="26"/>
          <w:szCs w:val="26"/>
        </w:rPr>
        <w:t xml:space="preserve">A.5 Practical Examples Session Guide</w:t>
      </w:r>
    </w:p>
    <w:p>
      <w:pPr>
        <w:spacing w:after="120" w:line="276"/>
      </w:pPr>
      <w:r>
        <w:rPr>
          <w:rFonts w:ascii="Arial" w:cs="Arial" w:eastAsia="Arial" w:hAnsi="Arial"/>
          <w:i/>
          <w:iCs/>
          <w:sz w:val="22"/>
          <w:szCs w:val="22"/>
        </w:rPr>
        <w:t xml:space="preserve">Use these three examples in the session that follows this scenario (14:30–15:00). They reinforce risk level distinctions.</w:t>
      </w:r>
    </w:p>
    <w:p>
      <w:pPr>
        <w:pStyle w:val="Heading3"/>
        <w:spacing w:before="200" w:after="120"/>
      </w:pPr>
      <w:r>
        <w:rPr>
          <w:rFonts w:ascii="Arial" w:cs="Arial" w:eastAsia="Arial" w:hAnsi="Arial"/>
          <w:b/>
          <w:bCs/>
          <w:color w:val="2E75B6"/>
          <w:sz w:val="24"/>
          <w:szCs w:val="24"/>
        </w:rPr>
        <w:t xml:space="preserve">Example 1: Accidental Email Disclosure to Recruitment Candidates</w:t>
      </w:r>
    </w:p>
    <w:p>
      <w:pPr>
        <w:spacing w:after="120" w:line="276"/>
      </w:pPr>
      <w:r>
        <w:rPr>
          <w:rFonts w:ascii="Arial" w:cs="Arial" w:eastAsia="Arial" w:hAnsi="Arial"/>
          <w:b/>
          <w:bCs/>
          <w:sz w:val="22"/>
          <w:szCs w:val="22"/>
        </w:rPr>
        <w:t xml:space="preserve">Scenario: </w:t>
      </w:r>
      <w:r>
        <w:rPr>
          <w:rFonts w:ascii="Arial" w:cs="Arial" w:eastAsia="Arial" w:hAnsi="Arial"/>
          <w:sz w:val="22"/>
          <w:szCs w:val="22"/>
        </w:rPr>
        <w:t xml:space="preserve">A member of HR accidentally sends an email to all rejected candidates with email addresses in the CC field instead of BCC.</w:t>
      </w:r>
    </w:p>
    <w:p>
      <w:pPr>
        <w:spacing w:after="120" w:line="276"/>
      </w:pPr>
      <w:r>
        <w:rPr>
          <w:rFonts w:ascii="Arial" w:cs="Arial" w:eastAsia="Arial" w:hAnsi="Arial"/>
          <w:b/>
          <w:bCs/>
          <w:sz w:val="22"/>
          <w:szCs w:val="22"/>
        </w:rPr>
        <w:t xml:space="preserve">Classification: </w:t>
      </w:r>
      <w:r>
        <w:rPr>
          <w:rFonts w:ascii="Arial" w:cs="Arial" w:eastAsia="Arial" w:hAnsi="Arial"/>
          <w:sz w:val="22"/>
          <w:szCs w:val="22"/>
        </w:rPr>
        <w:t xml:space="preserve">Confidentiality breach. </w:t>
      </w:r>
      <w:r>
        <w:rPr>
          <w:rFonts w:ascii="Arial" w:cs="Arial" w:eastAsia="Arial" w:hAnsi="Arial"/>
          <w:b/>
          <w:bCs/>
          <w:sz w:val="22"/>
          <w:szCs w:val="22"/>
        </w:rPr>
        <w:t xml:space="preserve">Risk level: Risk </w:t>
      </w:r>
      <w:r>
        <w:rPr>
          <w:rFonts w:ascii="Arial" w:cs="Arial" w:eastAsia="Arial" w:hAnsi="Arial"/>
          <w:sz w:val="22"/>
          <w:szCs w:val="22"/>
        </w:rPr>
        <w:t xml:space="preserve">(not High Risk). Notification to EDPS required. Communication to data subjects not required — the data disclosed (application status) is sensitive but not in the special categories, and the recipients are limited to the applicant pool.</w:t>
      </w:r>
    </w:p>
    <w:p>
      <w:pPr>
        <w:pStyle w:val="Heading3"/>
        <w:spacing w:before="200" w:after="120"/>
      </w:pPr>
      <w:r>
        <w:rPr>
          <w:rFonts w:ascii="Arial" w:cs="Arial" w:eastAsia="Arial" w:hAnsi="Arial"/>
          <w:b/>
          <w:bCs/>
          <w:color w:val="2E75B6"/>
          <w:sz w:val="24"/>
          <w:szCs w:val="24"/>
        </w:rPr>
        <w:t xml:space="preserve">Example 2: Whistleblowing Database Hacked and Published</w:t>
      </w:r>
    </w:p>
    <w:p>
      <w:pPr>
        <w:spacing w:after="120" w:line="276"/>
      </w:pPr>
      <w:r>
        <w:rPr>
          <w:rFonts w:ascii="Arial" w:cs="Arial" w:eastAsia="Arial" w:hAnsi="Arial"/>
          <w:b/>
          <w:bCs/>
          <w:sz w:val="22"/>
          <w:szCs w:val="22"/>
        </w:rPr>
        <w:t xml:space="preserve">Scenario: </w:t>
      </w:r>
      <w:r>
        <w:rPr>
          <w:rFonts w:ascii="Arial" w:cs="Arial" w:eastAsia="Arial" w:hAnsi="Arial"/>
          <w:sz w:val="22"/>
          <w:szCs w:val="22"/>
        </w:rPr>
        <w:t xml:space="preserve">A database containing whistleblower identities and persons concerned has been hacked and published online.</w:t>
      </w:r>
    </w:p>
    <w:p>
      <w:pPr>
        <w:spacing w:after="120" w:line="276"/>
      </w:pPr>
      <w:r>
        <w:rPr>
          <w:rFonts w:ascii="Arial" w:cs="Arial" w:eastAsia="Arial" w:hAnsi="Arial"/>
          <w:b/>
          <w:bCs/>
          <w:sz w:val="22"/>
          <w:szCs w:val="22"/>
        </w:rPr>
        <w:t xml:space="preserve">Classification: </w:t>
      </w:r>
      <w:r>
        <w:rPr>
          <w:rFonts w:ascii="Arial" w:cs="Arial" w:eastAsia="Arial" w:hAnsi="Arial"/>
          <w:sz w:val="22"/>
          <w:szCs w:val="22"/>
        </w:rPr>
        <w:t xml:space="preserve">Confidentiality breach. </w:t>
      </w:r>
      <w:r>
        <w:rPr>
          <w:rFonts w:ascii="Arial" w:cs="Arial" w:eastAsia="Arial" w:hAnsi="Arial"/>
          <w:b/>
          <w:bCs/>
          <w:sz w:val="22"/>
          <w:szCs w:val="22"/>
        </w:rPr>
        <w:t xml:space="preserve">Risk level: High Risk. </w:t>
      </w:r>
      <w:r>
        <w:rPr>
          <w:rFonts w:ascii="Arial" w:cs="Arial" w:eastAsia="Arial" w:hAnsi="Arial"/>
          <w:sz w:val="22"/>
          <w:szCs w:val="22"/>
        </w:rPr>
        <w:t xml:space="preserve">Notification to EDPS AND communication to data subjects required. The highly sensitive nature (whistleblower identity) and public disclosure create severe risk of retaliation, professional harm, and personal safety concerns.</w:t>
      </w:r>
    </w:p>
    <w:p>
      <w:pPr>
        <w:pStyle w:val="Heading3"/>
        <w:spacing w:before="200" w:after="120"/>
      </w:pPr>
      <w:r>
        <w:rPr>
          <w:rFonts w:ascii="Arial" w:cs="Arial" w:eastAsia="Arial" w:hAnsi="Arial"/>
          <w:b/>
          <w:bCs/>
          <w:color w:val="2E75B6"/>
          <w:sz w:val="24"/>
          <w:szCs w:val="24"/>
        </w:rPr>
        <w:t xml:space="preserve">Example 3: Lost Encrypted USB Stick</w:t>
      </w:r>
    </w:p>
    <w:p>
      <w:pPr>
        <w:spacing w:after="120" w:line="276"/>
      </w:pPr>
      <w:r>
        <w:rPr>
          <w:rFonts w:ascii="Arial" w:cs="Arial" w:eastAsia="Arial" w:hAnsi="Arial"/>
          <w:b/>
          <w:bCs/>
          <w:sz w:val="22"/>
          <w:szCs w:val="22"/>
        </w:rPr>
        <w:t xml:space="preserve">Scenario: </w:t>
      </w:r>
      <w:r>
        <w:rPr>
          <w:rFonts w:ascii="Arial" w:cs="Arial" w:eastAsia="Arial" w:hAnsi="Arial"/>
          <w:sz w:val="22"/>
          <w:szCs w:val="22"/>
        </w:rPr>
        <w:t xml:space="preserve">A senior official loses a USB stick containing draft decisions with personal data. The USB is encrypted with a state-of-the-art algorithm. Backup exists.</w:t>
      </w:r>
    </w:p>
    <w:p>
      <w:pPr>
        <w:spacing w:after="120" w:line="276"/>
      </w:pPr>
      <w:r>
        <w:rPr>
          <w:rFonts w:ascii="Arial" w:cs="Arial" w:eastAsia="Arial" w:hAnsi="Arial"/>
          <w:b/>
          <w:bCs/>
          <w:sz w:val="22"/>
          <w:szCs w:val="22"/>
        </w:rPr>
        <w:t xml:space="preserve">Classification: </w:t>
      </w:r>
      <w:r>
        <w:rPr>
          <w:rFonts w:ascii="Arial" w:cs="Arial" w:eastAsia="Arial" w:hAnsi="Arial"/>
          <w:sz w:val="22"/>
          <w:szCs w:val="22"/>
        </w:rPr>
        <w:t xml:space="preserve">Potential confidentiality breach. </w:t>
      </w:r>
      <w:r>
        <w:rPr>
          <w:rFonts w:ascii="Arial" w:cs="Arial" w:eastAsia="Arial" w:hAnsi="Arial"/>
          <w:b/>
          <w:bCs/>
          <w:sz w:val="22"/>
          <w:szCs w:val="22"/>
        </w:rPr>
        <w:t xml:space="preserve">Risk level: Unlikely Risk </w:t>
      </w:r>
      <w:r>
        <w:rPr>
          <w:rFonts w:ascii="Arial" w:cs="Arial" w:eastAsia="Arial" w:hAnsi="Arial"/>
          <w:sz w:val="22"/>
          <w:szCs w:val="22"/>
        </w:rPr>
        <w:t xml:space="preserve">(if encryption key is not compromised and data can be restored). Notification to EDPS and communication to data subjects may not be required. However, the risk must be re-evaluated if the encryption key is later compromised.</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
              <w:bottom w:val="single" w:color="2E75B6" w:sz="1"/>
              <w:right w:val="single" w:color="2E75B6" w:sz="1"/>
            </w:tcBorders>
            <w:shd w:fill="EBF2FA" w:val="clear"/>
            <w:tcMar>
              <w:top w:type="dxa" w:w="120"/>
              <w:left w:type="dxa" w:w="160"/>
              <w:bottom w:type="dxa" w:w="120"/>
              <w:right w:type="dxa" w:w="160"/>
            </w:tcMar>
          </w:tcPr>
          <w:p>
            <w:pPr>
              <w:spacing w:after="80"/>
            </w:pPr>
            <w:r>
              <w:rPr>
                <w:rFonts w:ascii="Arial" w:cs="Arial" w:eastAsia="Arial" w:hAnsi="Arial"/>
                <w:b/>
                <w:bCs/>
                <w:color w:val="1F3864"/>
                <w:sz w:val="22"/>
                <w:szCs w:val="22"/>
              </w:rPr>
              <w:t xml:space="preserve">App-Based Quick Vote</w:t>
            </w:r>
          </w:p>
          <w:p>
            <w:pPr>
              <w:spacing w:after="60" w:line="276"/>
            </w:pPr>
            <w:r>
              <w:rPr>
                <w:rFonts w:ascii="Arial" w:cs="Arial" w:eastAsia="Arial" w:hAnsi="Arial"/>
                <w:sz w:val="20"/>
                <w:szCs w:val="20"/>
              </w:rPr>
              <w:t xml:space="preserve">[APP] After presenting each example, use the EUDPR Training Platform for a rapid “Notify / Don’t Notify” vote.</w:t>
            </w:r>
          </w:p>
          <w:p>
            <w:pPr>
              <w:spacing w:after="60" w:line="276"/>
            </w:pPr>
            <w:r>
              <w:rPr>
                <w:rFonts w:ascii="Arial" w:cs="Arial" w:eastAsia="Arial" w:hAnsi="Arial"/>
                <w:sz w:val="20"/>
                <w:szCs w:val="20"/>
              </w:rPr>
              <w:t xml:space="preserve">[ANALOG] If the app is unavailable, ask for a show of hands and tally on the flip chart.</w:t>
            </w:r>
          </w:p>
        </w:tc>
      </w:tr>
    </w:tbl>
    <w:p>
      <w:r>
        <w:br w:type="page"/>
      </w:r>
    </w:p>
    <w:p>
      <w:pPr>
        <w:pBdr>
          <w:bottom w:val="single" w:color="2E75B6" w:sz="4" w:space="4"/>
        </w:pBdr>
        <w:spacing w:before="200" w:after="200"/>
        <w:jc w:val="center"/>
      </w:pPr>
      <w:r>
        <w:rPr>
          <w:rFonts w:ascii="Arial" w:cs="Arial" w:eastAsia="Arial" w:hAnsi="Arial"/>
          <w:b/>
          <w:bCs/>
          <w:color w:val="1F3864"/>
          <w:sz w:val="32"/>
          <w:szCs w:val="32"/>
        </w:rPr>
        <w:t xml:space="preserve">PART B: PARTICIPANT BRIEFING</w:t>
      </w:r>
    </w:p>
    <w:p>
      <w:pPr>
        <w:spacing w:after="120" w:line="276"/>
      </w:pPr>
      <w:r>
        <w:rPr>
          <w:rFonts w:ascii="Arial" w:cs="Arial" w:eastAsia="Arial" w:hAnsi="Arial"/>
          <w:i/>
          <w:iCs/>
          <w:sz w:val="22"/>
          <w:szCs w:val="22"/>
        </w:rPr>
        <w:t xml:space="preserve">Scenario 2: The Inter-Agency Data Leak (Cloud Service Provider Compromise) — Distribute to all participants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
              <w:bottom w:val="single" w:color="2E75B6" w:sz="1"/>
              <w:right w:val="single" w:color="2E75B6" w:sz="1"/>
            </w:tcBorders>
            <w:shd w:fill="EBF2FA" w:val="clear"/>
            <w:tcMar>
              <w:top w:type="dxa" w:w="120"/>
              <w:left w:type="dxa" w:w="160"/>
              <w:bottom w:type="dxa" w:w="120"/>
              <w:right w:type="dxa" w:w="160"/>
            </w:tcMar>
          </w:tcPr>
          <w:p>
            <w:pPr>
              <w:spacing w:after="80"/>
            </w:pPr>
            <w:r>
              <w:rPr>
                <w:rFonts w:ascii="Arial" w:cs="Arial" w:eastAsia="Arial" w:hAnsi="Arial"/>
                <w:b/>
                <w:bCs/>
                <w:color w:val="1F3864"/>
                <w:sz w:val="22"/>
                <w:szCs w:val="22"/>
              </w:rPr>
              <w:t xml:space="preserve">Scenario Objective</w:t>
            </w:r>
          </w:p>
          <w:p>
            <w:pPr>
              <w:spacing w:after="60" w:line="276"/>
            </w:pPr>
            <w:r>
              <w:rPr>
                <w:rFonts w:ascii="Arial" w:cs="Arial" w:eastAsia="Arial" w:hAnsi="Arial"/>
                <w:sz w:val="20"/>
                <w:szCs w:val="20"/>
              </w:rPr>
              <w:t xml:space="preserve">You will analyse a complex data breach involving sensitive data, multi-party coordination, processor accountability, and data retention violations.</w:t>
            </w:r>
          </w:p>
          <w:p>
            <w:pPr>
              <w:spacing w:after="60" w:line="276"/>
            </w:pPr>
            <w:r>
              <w:rPr>
                <w:rFonts w:ascii="Arial" w:cs="Arial" w:eastAsia="Arial" w:hAnsi="Arial"/>
                <w:sz w:val="20"/>
                <w:szCs w:val="20"/>
              </w:rPr>
              <w:t xml:space="preserve">You must determine whether this breach constitutes “Risk” or “High Risk” to data subjects — and justify your verdict with a structured argument.</w:t>
            </w:r>
          </w:p>
          <w:p>
            <w:pPr>
              <w:spacing w:after="60" w:line="276"/>
            </w:pPr>
            <w:r>
              <w:rPr>
                <w:rFonts w:ascii="Arial" w:cs="Arial" w:eastAsia="Arial" w:hAnsi="Arial"/>
                <w:sz w:val="20"/>
                <w:szCs w:val="20"/>
              </w:rPr>
              <w:t xml:space="preserve">This scenario requires coordination between legal, technical, and operational perspectives within your team.</w:t>
            </w:r>
          </w:p>
        </w:tc>
      </w:tr>
    </w:tbl>
    <w:p>
      <w:pPr>
        <w:spacing w:after="60"/>
      </w:pPr>
    </w:p>
    <w:p>
      <w:pPr>
        <w:pStyle w:val="Heading2"/>
        <w:spacing w:before="280" w:after="160"/>
      </w:pPr>
      <w:r>
        <w:rPr>
          <w:rFonts w:ascii="Arial" w:cs="Arial" w:eastAsia="Arial" w:hAnsi="Arial"/>
          <w:b/>
          <w:bCs/>
          <w:color w:val="2E75B6"/>
          <w:sz w:val="26"/>
          <w:szCs w:val="26"/>
        </w:rPr>
        <w:t xml:space="preserve">B.1 Context</w:t>
      </w:r>
    </w:p>
    <w:p>
      <w:pPr>
        <w:pStyle w:val="Heading3"/>
        <w:spacing w:before="200" w:after="120"/>
      </w:pPr>
      <w:r>
        <w:rPr>
          <w:rFonts w:ascii="Arial" w:cs="Arial" w:eastAsia="Arial" w:hAnsi="Arial"/>
          <w:b/>
          <w:bCs/>
          <w:color w:val="2E75B6"/>
          <w:sz w:val="24"/>
          <w:szCs w:val="24"/>
        </w:rPr>
        <w:t xml:space="preserve">The Organisations</w:t>
      </w:r>
    </w:p>
    <w:p>
      <w:pPr>
        <w:spacing w:after="120" w:line="276"/>
      </w:pPr>
      <w:r>
        <w:rPr>
          <w:rFonts w:ascii="Arial" w:cs="Arial" w:eastAsia="Arial" w:hAnsi="Arial"/>
          <w:sz w:val="22"/>
          <w:szCs w:val="22"/>
        </w:rPr>
        <w:t xml:space="preserve">Your EUIBA (“</w:t>
      </w:r>
      <w:r>
        <w:rPr>
          <w:rFonts w:ascii="Arial" w:cs="Arial" w:eastAsia="Arial" w:hAnsi="Arial"/>
          <w:b/>
          <w:bCs/>
          <w:sz w:val="22"/>
          <w:szCs w:val="22"/>
        </w:rPr>
        <w:t xml:space="preserve">EUIBA-Alpha</w:t>
      </w:r>
      <w:r>
        <w:rPr>
          <w:rFonts w:ascii="Arial" w:cs="Arial" w:eastAsia="Arial" w:hAnsi="Arial"/>
          <w:sz w:val="22"/>
          <w:szCs w:val="22"/>
        </w:rPr>
        <w:t xml:space="preserve">”) is the lead institution on a large-scale public health research project studying population health trends across the European Union. EUIBA-Alpha collaborates with another Union Institution (“</w:t>
      </w:r>
      <w:r>
        <w:rPr>
          <w:rFonts w:ascii="Arial" w:cs="Arial" w:eastAsia="Arial" w:hAnsi="Arial"/>
          <w:b/>
          <w:bCs/>
          <w:sz w:val="22"/>
          <w:szCs w:val="22"/>
        </w:rPr>
        <w:t xml:space="preserve">EUIBA-Beta</w:t>
      </w:r>
      <w:r>
        <w:rPr>
          <w:rFonts w:ascii="Arial" w:cs="Arial" w:eastAsia="Arial" w:hAnsi="Arial"/>
          <w:sz w:val="22"/>
          <w:szCs w:val="22"/>
        </w:rPr>
        <w:t xml:space="preserve">”), which holds critical re-identification keys. Both operate under the EUDPR and the Cybersecurity Regulation.</w:t>
      </w:r>
    </w:p>
    <w:p>
      <w:pPr>
        <w:pStyle w:val="Heading3"/>
        <w:spacing w:before="200" w:after="120"/>
      </w:pPr>
      <w:r>
        <w:rPr>
          <w:rFonts w:ascii="Arial" w:cs="Arial" w:eastAsia="Arial" w:hAnsi="Arial"/>
          <w:b/>
          <w:bCs/>
          <w:color w:val="2E75B6"/>
          <w:sz w:val="24"/>
          <w:szCs w:val="24"/>
        </w:rPr>
        <w:t xml:space="preserve">Legal Relationships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Entity</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48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Relationship to Data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EUIBA-Alpha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Controller</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Determines purposes and means of processing. Responsible for compliance.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EUIBA-Beta</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Custodian of re-identification keys</w:t>
            </w:r>
          </w:p>
        </w:tc>
        <w:tc>
          <w:tcPr>
            <w:tcW w:type="dxa" w:w="4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NOT a co-controller. Acts solely under a specific inter-institutional agreement. Has no access to the research data itself and no role in determining purposes or means.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CloudVault Solutions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Third-party cloud service provider acting under a DPA pursuant to Article 29 EUDPR.</w:t>
            </w:r>
          </w:p>
        </w:tc>
      </w:tr>
    </w:tbl>
    <w:p>
      <w:pPr>
        <w:pStyle w:val="Heading3"/>
        <w:spacing w:before="200" w:after="120"/>
      </w:pPr>
      <w:r>
        <w:rPr>
          <w:rFonts w:ascii="Arial" w:cs="Arial" w:eastAsia="Arial" w:hAnsi="Arial"/>
          <w:b/>
          <w:bCs/>
          <w:color w:val="2E75B6"/>
          <w:sz w:val="24"/>
          <w:szCs w:val="24"/>
        </w:rPr>
        <w:t xml:space="preserve">Contractual Framework (Data Processing Agreement)</w:t>
      </w:r>
    </w:p>
    <w:p>
      <w:pPr>
        <w:spacing w:after="120" w:line="276"/>
      </w:pPr>
      <w:r>
        <w:rPr>
          <w:rFonts w:ascii="Arial" w:cs="Arial" w:eastAsia="Arial" w:hAnsi="Arial"/>
          <w:sz w:val="22"/>
          <w:szCs w:val="22"/>
        </w:rPr>
        <w:t xml:space="preserve">The DPA with CloudVault specifies, among other things:</w:t>
      </w:r>
    </w:p>
    <w:p>
      <w:pPr>
        <w:pStyle w:val="ListParagraph"/>
        <w:numPr>
          <w:ilvl w:val="0"/>
          <w:numId w:val="2"/>
        </w:numPr>
        <w:spacing w:after="60" w:line="276"/>
      </w:pPr>
      <w:r>
        <w:rPr>
          <w:rFonts w:ascii="Arial" w:cs="Arial" w:eastAsia="Arial" w:hAnsi="Arial"/>
          <w:sz w:val="20"/>
          <w:szCs w:val="20"/>
        </w:rPr>
        <w:t xml:space="preserve">(a) Encryption at rest for all stored data using AES-256.</w:t>
      </w:r>
    </w:p>
    <w:p>
      <w:pPr>
        <w:pStyle w:val="ListParagraph"/>
        <w:numPr>
          <w:ilvl w:val="0"/>
          <w:numId w:val="2"/>
        </w:numPr>
        <w:spacing w:after="60" w:line="276"/>
      </w:pPr>
      <w:r>
        <w:rPr>
          <w:rFonts w:ascii="Arial" w:cs="Arial" w:eastAsia="Arial" w:hAnsi="Arial"/>
          <w:sz w:val="20"/>
          <w:szCs w:val="20"/>
        </w:rPr>
        <w:t xml:space="preserve">(b) Access logging and real-time intrusion detection.</w:t>
      </w:r>
    </w:p>
    <w:p>
      <w:pPr>
        <w:pStyle w:val="ListParagraph"/>
        <w:numPr>
          <w:ilvl w:val="0"/>
          <w:numId w:val="2"/>
        </w:numPr>
        <w:spacing w:after="60" w:line="276"/>
      </w:pPr>
      <w:r>
        <w:rPr>
          <w:rFonts w:ascii="Arial" w:cs="Arial" w:eastAsia="Arial" w:hAnsi="Arial"/>
          <w:sz w:val="20"/>
          <w:szCs w:val="20"/>
        </w:rPr>
        <w:t xml:space="preserve">(c) Immediate notification to EUIBA-Alpha of any security incident affecting their data.</w:t>
      </w:r>
    </w:p>
    <w:p>
      <w:pPr>
        <w:pStyle w:val="ListParagraph"/>
        <w:numPr>
          <w:ilvl w:val="0"/>
          <w:numId w:val="2"/>
        </w:numPr>
        <w:spacing w:after="60" w:line="276"/>
      </w:pPr>
      <w:r>
        <w:rPr>
          <w:rFonts w:ascii="Arial" w:cs="Arial" w:eastAsia="Arial" w:hAnsi="Arial"/>
          <w:sz w:val="20"/>
          <w:szCs w:val="20"/>
        </w:rPr>
        <w:t xml:space="preserve">(d) Annual security audits by an independent third party.</w:t>
      </w:r>
    </w:p>
    <w:p>
      <w:pPr>
        <w:pStyle w:val="Heading3"/>
        <w:spacing w:before="200" w:after="120"/>
      </w:pPr>
      <w:r>
        <w:rPr>
          <w:rFonts w:ascii="Arial" w:cs="Arial" w:eastAsia="Arial" w:hAnsi="Arial"/>
          <w:b/>
          <w:bCs/>
          <w:color w:val="2E75B6"/>
          <w:sz w:val="24"/>
          <w:szCs w:val="24"/>
        </w:rPr>
        <w:t xml:space="preserve">Additional Context</w:t>
      </w:r>
    </w:p>
    <w:p>
      <w:pPr>
        <w:pStyle w:val="ListParagraph"/>
        <w:numPr>
          <w:ilvl w:val="0"/>
          <w:numId w:val="2"/>
        </w:numPr>
        <w:spacing w:after="60" w:line="276"/>
      </w:pPr>
      <w:r>
        <w:rPr>
          <w:rFonts w:ascii="Arial" w:cs="Arial" w:eastAsia="Arial" w:hAnsi="Arial"/>
          <w:sz w:val="20"/>
          <w:szCs w:val="20"/>
        </w:rPr>
        <w:t xml:space="preserve">EUIBA-Alpha’s RoPA (Record of Processing Activities) documents this processing.</w:t>
      </w:r>
    </w:p>
    <w:p>
      <w:pPr>
        <w:pStyle w:val="ListParagraph"/>
        <w:numPr>
          <w:ilvl w:val="0"/>
          <w:numId w:val="2"/>
        </w:numPr>
        <w:spacing w:after="60" w:line="276"/>
      </w:pPr>
      <w:r>
        <w:rPr>
          <w:rFonts w:ascii="Arial" w:cs="Arial" w:eastAsia="Arial" w:hAnsi="Arial"/>
          <w:sz w:val="20"/>
          <w:szCs w:val="20"/>
        </w:rPr>
        <w:t xml:space="preserve">A DPIA was conducted 4 years ago when the project launched. The DPIA is due for review.</w:t>
      </w:r>
    </w:p>
    <w:p>
      <w:pPr>
        <w:pStyle w:val="Heading2"/>
        <w:spacing w:before="280" w:after="160"/>
      </w:pPr>
      <w:r>
        <w:rPr>
          <w:rFonts w:ascii="Arial" w:cs="Arial" w:eastAsia="Arial" w:hAnsi="Arial"/>
          <w:b/>
          <w:bCs/>
          <w:color w:val="2E75B6"/>
          <w:sz w:val="26"/>
          <w:szCs w:val="26"/>
        </w:rPr>
        <w:t xml:space="preserve">B.2 Incident Description &amp;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Timestamp</w:t>
            </w:r>
          </w:p>
        </w:tc>
        <w:tc>
          <w:tcPr>
            <w:tcW w:type="dxa" w:w="70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Event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1, 14:00 UTC</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EUIBA-Alpha’s Local Cybersecurity Officer (LCO) receives an urgent alert from CERT-EU indicating a confirmed major security incident involving CloudVault Solutions. CERT-EU classifies this as a “significant incident” under Article 19 of the Cybersecurity Regulation and requests immediate coordination.</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Day 1, 15:30 UTC</w:t>
            </w:r>
          </w:p>
        </w:tc>
        <w:tc>
          <w:tcPr>
            <w:tcW w:type="dxa" w:w="7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CloudVault’s incident response team contacts EUIBA-Alpha’s IT Security team directly, confirming their infrastructure was breached. CloudVault states this notification is made pursuant to their Article 33(2) EUDPR obligations and clause 8.3 of the DPA.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1, 17:00 UTC</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CloudVault provides a detailed technical assessment (see Section B.3 below).</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Day 1, 19:00 UTC</w:t>
            </w:r>
          </w:p>
        </w:tc>
        <w:tc>
          <w:tcPr>
            <w:tcW w:type="dxa" w:w="7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EUIBA-Alpha’s internal investigation confirms the affected storage buckets correspond to the public health research project database.</w:t>
            </w:r>
          </w:p>
        </w:tc>
      </w:tr>
    </w:tbl>
    <w:p>
      <w:pPr>
        <w:pStyle w:val="Heading2"/>
        <w:spacing w:before="280" w:after="160"/>
      </w:pPr>
      <w:r>
        <w:rPr>
          <w:rFonts w:ascii="Arial" w:cs="Arial" w:eastAsia="Arial" w:hAnsi="Arial"/>
          <w:b/>
          <w:bCs/>
          <w:color w:val="2E75B6"/>
          <w:sz w:val="26"/>
          <w:szCs w:val="26"/>
        </w:rPr>
        <w:t xml:space="preserve">B.3 Detailed Technical Findings (Day 1, 17:00 UTC)</w:t>
      </w:r>
    </w:p>
    <w:p>
      <w:pPr>
        <w:pStyle w:val="Heading3"/>
        <w:spacing w:before="200" w:after="120"/>
      </w:pPr>
      <w:r>
        <w:rPr>
          <w:rFonts w:ascii="Arial" w:cs="Arial" w:eastAsia="Arial" w:hAnsi="Arial"/>
          <w:b/>
          <w:bCs/>
          <w:color w:val="2E75B6"/>
          <w:sz w:val="24"/>
          <w:szCs w:val="24"/>
        </w:rPr>
        <w:t xml:space="preserve">Compromise Scope</w:t>
      </w:r>
    </w:p>
    <w:p>
      <w:pPr>
        <w:pStyle w:val="ListParagraph"/>
        <w:numPr>
          <w:ilvl w:val="0"/>
          <w:numId w:val="2"/>
        </w:numPr>
        <w:spacing w:after="60" w:line="276"/>
      </w:pPr>
      <w:r>
        <w:rPr>
          <w:rFonts w:ascii="Arial" w:cs="Arial" w:eastAsia="Arial" w:hAnsi="Arial"/>
          <w:sz w:val="20"/>
          <w:szCs w:val="20"/>
        </w:rPr>
        <w:t xml:space="preserve">Attackers gained unauthorised access to specific storage buckets on CloudVault used by EUIBA-Alpha for the public health research project.</w:t>
      </w:r>
    </w:p>
    <w:p>
      <w:pPr>
        <w:pStyle w:val="ListParagraph"/>
        <w:numPr>
          <w:ilvl w:val="0"/>
          <w:numId w:val="2"/>
        </w:numPr>
        <w:spacing w:after="60" w:line="276"/>
      </w:pPr>
      <w:r>
        <w:rPr>
          <w:rFonts w:ascii="Arial" w:cs="Arial" w:eastAsia="Arial" w:hAnsi="Arial"/>
          <w:sz w:val="20"/>
          <w:szCs w:val="20"/>
        </w:rPr>
        <w:t xml:space="preserve">Attack vector: a sophisticated spear-phishing campaign targeting CloudVault system administrators, which led to compromised administrative credentials.</w:t>
      </w:r>
    </w:p>
    <w:p>
      <w:pPr>
        <w:pStyle w:val="ListParagraph"/>
        <w:numPr>
          <w:ilvl w:val="0"/>
          <w:numId w:val="2"/>
        </w:numPr>
        <w:spacing w:after="60" w:line="276"/>
      </w:pPr>
      <w:r>
        <w:rPr>
          <w:rFonts w:ascii="Arial" w:cs="Arial" w:eastAsia="Arial" w:hAnsi="Arial"/>
          <w:sz w:val="20"/>
          <w:szCs w:val="20"/>
        </w:rPr>
        <w:t xml:space="preserve">Data exfiltration occurred over a 48-hour period prior to detection. The attackers used encrypted channels to extract data, making it difficult to determine the exact volume exfiltrated.</w:t>
      </w:r>
    </w:p>
    <w:p>
      <w:pPr>
        <w:pStyle w:val="ListParagraph"/>
        <w:numPr>
          <w:ilvl w:val="0"/>
          <w:numId w:val="2"/>
        </w:numPr>
        <w:spacing w:after="60" w:line="276"/>
      </w:pPr>
      <w:r>
        <w:rPr>
          <w:rFonts w:ascii="Arial" w:cs="Arial" w:eastAsia="Arial" w:hAnsi="Arial"/>
          <w:b/>
          <w:bCs/>
          <w:sz w:val="20"/>
          <w:szCs w:val="20"/>
        </w:rPr>
        <w:t xml:space="preserve">Attribution: </w:t>
      </w:r>
      <w:r>
        <w:rPr>
          <w:rFonts w:ascii="Arial" w:cs="Arial" w:eastAsia="Arial" w:hAnsi="Arial"/>
          <w:sz w:val="20"/>
          <w:szCs w:val="20"/>
        </w:rPr>
        <w:t xml:space="preserve">CERT-EU’s analysis suggests the attack was conducted by a </w:t>
      </w:r>
      <w:r>
        <w:rPr>
          <w:rFonts w:ascii="Arial" w:cs="Arial" w:eastAsia="Arial" w:hAnsi="Arial"/>
          <w:b/>
          <w:bCs/>
          <w:sz w:val="20"/>
          <w:szCs w:val="20"/>
        </w:rPr>
        <w:t xml:space="preserve">suspected state-sponsored cyber-espionage group</w:t>
      </w:r>
      <w:r>
        <w:rPr>
          <w:rFonts w:ascii="Arial" w:cs="Arial" w:eastAsia="Arial" w:hAnsi="Arial"/>
          <w:sz w:val="20"/>
          <w:szCs w:val="20"/>
        </w:rPr>
        <w:t xml:space="preserve"> known to target EU institutional data.</w:t>
      </w:r>
    </w:p>
    <w:p>
      <w:pPr>
        <w:pStyle w:val="Heading3"/>
        <w:spacing w:before="200" w:after="120"/>
      </w:pPr>
      <w:r>
        <w:rPr>
          <w:rFonts w:ascii="Arial" w:cs="Arial" w:eastAsia="Arial" w:hAnsi="Arial"/>
          <w:b/>
          <w:bCs/>
          <w:color w:val="2E75B6"/>
          <w:sz w:val="24"/>
          <w:szCs w:val="24"/>
        </w:rPr>
        <w:t xml:space="preserve">Data Involved</w:t>
      </w:r>
    </w:p>
    <w:p>
      <w:pPr>
        <w:spacing w:after="120" w:line="276"/>
      </w:pPr>
      <w:r>
        <w:rPr>
          <w:rFonts w:ascii="Arial" w:cs="Arial" w:eastAsia="Arial" w:hAnsi="Arial"/>
          <w:sz w:val="22"/>
          <w:szCs w:val="22"/>
        </w:rPr>
        <w:t xml:space="preserve">The compromised database contains </w:t>
      </w:r>
      <w:r>
        <w:rPr>
          <w:rFonts w:ascii="Arial" w:cs="Arial" w:eastAsia="Arial" w:hAnsi="Arial"/>
          <w:b/>
          <w:bCs/>
          <w:sz w:val="22"/>
          <w:szCs w:val="22"/>
        </w:rPr>
        <w:t xml:space="preserve">750,000 records</w:t>
      </w:r>
      <w:r>
        <w:rPr>
          <w:rFonts w:ascii="Arial" w:cs="Arial" w:eastAsia="Arial" w:hAnsi="Arial"/>
          <w:sz w:val="22"/>
          <w:szCs w:val="22"/>
        </w:rPr>
        <w:t xml:space="preserve"> of EU citizens participating in the research study. Each record includes: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26"/>
        <w:gridCol w:w="280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Data Field</w:t>
            </w:r>
          </w:p>
        </w:tc>
        <w:tc>
          <w:tcPr>
            <w:tcW w:type="dxa" w:w="40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Details</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Classification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Pseudonymised identifier</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Generated by a one-way cryptographic hash of the participant’s national ID number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Personal data (pseudonymised)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Demographic data</w:t>
            </w:r>
          </w:p>
        </w:tc>
        <w:tc>
          <w:tcPr>
            <w:tcW w:type="dxa" w:w="4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Age group (e.g., 18–25), gender, and country of residence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Personal data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Health status indicator</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Values: “Good,” “Fair,” “Poor” — derived from self-reported general health questionnaires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concerning health within the meaning of Article 10 EUDPR and Recital 35 GDPR</w:t>
            </w:r>
          </w:p>
        </w:tc>
      </w:tr>
    </w:tbl>
    <w:p>
      <w:pPr>
        <w:pStyle w:val="Heading3"/>
        <w:spacing w:before="200" w:after="120"/>
      </w:pPr>
      <w:r>
        <w:rPr>
          <w:rFonts w:ascii="Arial" w:cs="Arial" w:eastAsia="Arial" w:hAnsi="Arial"/>
          <w:b/>
          <w:bCs/>
          <w:color w:val="2E75B6"/>
          <w:sz w:val="24"/>
          <w:szCs w:val="24"/>
        </w:rPr>
        <w:t xml:space="preserve">Re-identification Key</w:t>
      </w:r>
    </w:p>
    <w:p>
      <w:pPr>
        <w:pStyle w:val="ListParagraph"/>
        <w:numPr>
          <w:ilvl w:val="0"/>
          <w:numId w:val="2"/>
        </w:numPr>
        <w:spacing w:after="60" w:line="276"/>
      </w:pPr>
      <w:r>
        <w:rPr>
          <w:rFonts w:ascii="Arial" w:cs="Arial" w:eastAsia="Arial" w:hAnsi="Arial"/>
          <w:sz w:val="20"/>
          <w:szCs w:val="20"/>
        </w:rPr>
        <w:t xml:space="preserve">The original national ID numbers and the unique hashing key are held exclusively by EUIBA-Beta on a separate, highly secured internal system, completely isolated from CloudVault.</w:t>
      </w:r>
    </w:p>
    <w:p>
      <w:pPr>
        <w:pStyle w:val="ListParagraph"/>
        <w:numPr>
          <w:ilvl w:val="0"/>
          <w:numId w:val="2"/>
        </w:numPr>
        <w:spacing w:after="60" w:line="276"/>
      </w:pPr>
      <w:r>
        <w:rPr>
          <w:rFonts w:ascii="Arial" w:cs="Arial" w:eastAsia="Arial" w:hAnsi="Arial"/>
          <w:b/>
          <w:bCs/>
          <w:sz w:val="20"/>
          <w:szCs w:val="20"/>
        </w:rPr>
        <w:t xml:space="preserve">No evidence </w:t>
      </w:r>
      <w:r>
        <w:rPr>
          <w:rFonts w:ascii="Arial" w:cs="Arial" w:eastAsia="Arial" w:hAnsi="Arial"/>
          <w:sz w:val="20"/>
          <w:szCs w:val="20"/>
        </w:rPr>
        <w:t xml:space="preserve">of any compromise of EUIBA-Beta’s systems or the key itself.</w:t>
      </w:r>
    </w:p>
    <w:p>
      <w:pPr>
        <w:pStyle w:val="ListParagraph"/>
        <w:numPr>
          <w:ilvl w:val="0"/>
          <w:numId w:val="2"/>
        </w:numPr>
        <w:spacing w:after="60" w:line="276"/>
      </w:pPr>
      <w:r>
        <w:rPr>
          <w:rFonts w:ascii="Arial" w:cs="Arial" w:eastAsia="Arial" w:hAnsi="Arial"/>
          <w:b/>
          <w:bCs/>
          <w:sz w:val="20"/>
          <w:szCs w:val="20"/>
        </w:rPr>
        <w:t xml:space="preserve">However: </w:t>
      </w:r>
      <w:r>
        <w:rPr>
          <w:rFonts w:ascii="Arial" w:cs="Arial" w:eastAsia="Arial" w:hAnsi="Arial"/>
          <w:sz w:val="20"/>
          <w:szCs w:val="20"/>
        </w:rPr>
        <w:t xml:space="preserve">the demographic combination (age group + gender + country of residence) could potentially serve as a quasi-identifier. Research has shown that combinations of three or more demographic attributes can re-identify individuals with varying degrees of success, particularly for residents of smaller EU Member States.</w:t>
      </w:r>
    </w:p>
    <w:p>
      <w:pPr>
        <w:pStyle w:val="Heading3"/>
        <w:spacing w:before="200" w:after="120"/>
      </w:pPr>
      <w:r>
        <w:rPr>
          <w:rFonts w:ascii="Arial" w:cs="Arial" w:eastAsia="Arial" w:hAnsi="Arial"/>
          <w:b/>
          <w:bCs/>
          <w:color w:val="2E75B6"/>
          <w:sz w:val="24"/>
          <w:szCs w:val="24"/>
        </w:rPr>
        <w:t xml:space="preserve">Contractual Breach by Processor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0000" w:sz="4"/>
              <w:left w:val="single" w:color="C00000" w:sz="1"/>
              <w:bottom w:val="single" w:color="C00000" w:sz="1"/>
              <w:right w:val="single" w:color="C00000" w:sz="1"/>
            </w:tcBorders>
            <w:shd w:fill="FFF0F0" w:val="clear"/>
            <w:tcMar>
              <w:top w:type="dxa" w:w="120"/>
              <w:left w:type="dxa" w:w="160"/>
              <w:bottom w:type="dxa" w:w="120"/>
              <w:right w:type="dxa" w:w="160"/>
            </w:tcMar>
          </w:tcPr>
          <w:p>
            <w:pPr>
              <w:spacing w:after="80"/>
            </w:pPr>
            <w:r>
              <w:rPr>
                <w:rFonts w:ascii="Arial" w:cs="Arial" w:eastAsia="Arial" w:hAnsi="Arial"/>
                <w:b/>
                <w:bCs/>
                <w:color w:val="C00000"/>
                <w:sz w:val="22"/>
                <w:szCs w:val="22"/>
              </w:rPr>
              <w:t xml:space="preserve">Critical Finding</w:t>
            </w:r>
          </w:p>
          <w:p>
            <w:pPr>
              <w:spacing w:after="60" w:line="276"/>
            </w:pPr>
            <w:r>
              <w:rPr>
                <w:rFonts w:ascii="Arial" w:cs="Arial" w:eastAsia="Arial" w:hAnsi="Arial"/>
                <w:b/>
                <w:bCs/>
                <w:sz w:val="20"/>
                <w:szCs w:val="20"/>
              </w:rPr>
              <w:t xml:space="preserve">Encryption at rest was NOT enabled </w:t>
            </w:r>
            <w:r>
              <w:rPr>
                <w:rFonts w:ascii="Arial" w:cs="Arial" w:eastAsia="Arial" w:hAnsi="Arial"/>
                <w:sz w:val="20"/>
                <w:szCs w:val="20"/>
              </w:rPr>
              <w:t xml:space="preserve">for the affected storage buckets, despite being a mandatory requirement under clause 5.2(a) of the DPA and a condition identified as essential in EUIBA-Alpha’s DPIA.</w:t>
            </w:r>
          </w:p>
          <w:p>
            <w:pPr>
              <w:spacing w:after="60" w:line="276"/>
            </w:pPr>
            <w:r>
              <w:rPr>
                <w:rFonts w:ascii="Arial" w:cs="Arial" w:eastAsia="Arial" w:hAnsi="Arial"/>
                <w:sz w:val="20"/>
                <w:szCs w:val="20"/>
              </w:rPr>
              <w:t xml:space="preserve">CloudVault has not yet provided an explanation for this discrepancy.</w:t>
            </w:r>
          </w:p>
          <w:p>
            <w:pPr>
              <w:spacing w:after="60" w:line="276"/>
            </w:pPr>
            <w:r>
              <w:rPr>
                <w:rFonts w:ascii="Arial" w:cs="Arial" w:eastAsia="Arial" w:hAnsi="Arial"/>
                <w:sz w:val="20"/>
                <w:szCs w:val="20"/>
              </w:rPr>
              <w:t xml:space="preserve">CloudVault’s most recent independent security audit (8 months ago) did not flag this configuration gap.</w:t>
            </w:r>
          </w:p>
        </w:tc>
      </w:tr>
    </w:tbl>
    <w:p>
      <w:pPr>
        <w:pStyle w:val="Heading3"/>
        <w:spacing w:before="200" w:after="120"/>
      </w:pPr>
      <w:r>
        <w:rPr>
          <w:rFonts w:ascii="Arial" w:cs="Arial" w:eastAsia="Arial" w:hAnsi="Arial"/>
          <w:b/>
          <w:bCs/>
          <w:color w:val="2E75B6"/>
          <w:sz w:val="24"/>
          <w:szCs w:val="24"/>
        </w:rPr>
        <w:t xml:space="preserve">Data Retention Oversight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0000" w:sz="4"/>
              <w:left w:val="single" w:color="C00000" w:sz="1"/>
              <w:bottom w:val="single" w:color="C00000" w:sz="1"/>
              <w:right w:val="single" w:color="C00000" w:sz="1"/>
            </w:tcBorders>
            <w:shd w:fill="FFF0F0" w:val="clear"/>
            <w:tcMar>
              <w:top w:type="dxa" w:w="120"/>
              <w:left w:type="dxa" w:w="160"/>
              <w:bottom w:type="dxa" w:w="120"/>
              <w:right w:type="dxa" w:w="160"/>
            </w:tcMar>
          </w:tcPr>
          <w:p>
            <w:pPr>
              <w:spacing w:after="80"/>
            </w:pPr>
            <w:r>
              <w:rPr>
                <w:rFonts w:ascii="Arial" w:cs="Arial" w:eastAsia="Arial" w:hAnsi="Arial"/>
                <w:b/>
                <w:bCs/>
                <w:color w:val="C00000"/>
                <w:sz w:val="22"/>
                <w:szCs w:val="22"/>
              </w:rPr>
              <w:t xml:space="preserve">Critical Finding</w:t>
            </w:r>
          </w:p>
          <w:p>
            <w:pPr>
              <w:spacing w:after="60" w:line="276"/>
            </w:pPr>
            <w:r>
              <w:rPr>
                <w:rFonts w:ascii="Arial" w:cs="Arial" w:eastAsia="Arial" w:hAnsi="Arial"/>
                <w:sz w:val="20"/>
                <w:szCs w:val="20"/>
              </w:rPr>
              <w:t xml:space="preserve">EUIBA-Alpha’s data retention policy specifies a </w:t>
            </w:r>
            <w:r>
              <w:rPr>
                <w:rFonts w:ascii="Arial" w:cs="Arial" w:eastAsia="Arial" w:hAnsi="Arial"/>
                <w:b/>
                <w:bCs/>
                <w:sz w:val="20"/>
                <w:szCs w:val="20"/>
              </w:rPr>
              <w:t xml:space="preserve">maximum storage period of 5 years.</w:t>
            </w:r>
          </w:p>
          <w:p>
            <w:pPr>
              <w:spacing w:after="60" w:line="276"/>
            </w:pPr>
            <w:r>
              <w:rPr>
                <w:rFonts w:ascii="Arial" w:cs="Arial" w:eastAsia="Arial" w:hAnsi="Arial"/>
                <w:sz w:val="20"/>
                <w:szCs w:val="20"/>
              </w:rPr>
              <w:t xml:space="preserve">Internal checks reveal that data from the project’s pilot phase, dating back </w:t>
            </w:r>
            <w:r>
              <w:rPr>
                <w:rFonts w:ascii="Arial" w:cs="Arial" w:eastAsia="Arial" w:hAnsi="Arial"/>
                <w:b/>
                <w:bCs/>
                <w:sz w:val="20"/>
                <w:szCs w:val="20"/>
              </w:rPr>
              <w:t xml:space="preserve">7 years</w:t>
            </w:r>
            <w:r>
              <w:rPr>
                <w:rFonts w:ascii="Arial" w:cs="Arial" w:eastAsia="Arial" w:hAnsi="Arial"/>
                <w:sz w:val="20"/>
                <w:szCs w:val="20"/>
              </w:rPr>
              <w:t xml:space="preserve">, was still present in the compromised database due to an oversight in automated deletion scripts.</w:t>
            </w:r>
          </w:p>
          <w:p>
            <w:pPr>
              <w:spacing w:after="60" w:line="276"/>
            </w:pPr>
            <w:r>
              <w:rPr>
                <w:rFonts w:ascii="Arial" w:cs="Arial" w:eastAsia="Arial" w:hAnsi="Arial"/>
                <w:sz w:val="20"/>
                <w:szCs w:val="20"/>
              </w:rPr>
              <w:t xml:space="preserve">This means an </w:t>
            </w:r>
            <w:r>
              <w:rPr>
                <w:rFonts w:ascii="Arial" w:cs="Arial" w:eastAsia="Arial" w:hAnsi="Arial"/>
                <w:b/>
                <w:bCs/>
                <w:sz w:val="20"/>
                <w:szCs w:val="20"/>
              </w:rPr>
              <w:t xml:space="preserve">additional 2 years of historical data, including health status indicators</w:t>
            </w:r>
            <w:r>
              <w:rPr>
                <w:rFonts w:ascii="Arial" w:cs="Arial" w:eastAsia="Arial" w:hAnsi="Arial"/>
                <w:sz w:val="20"/>
                <w:szCs w:val="20"/>
              </w:rPr>
              <w:t xml:space="preserve">, were exposed beyond their intended retention period.</w:t>
            </w:r>
          </w:p>
          <w:p>
            <w:pPr>
              <w:spacing w:after="60" w:line="276"/>
            </w:pPr>
            <w:r>
              <w:rPr>
                <w:rFonts w:ascii="Arial" w:cs="Arial" w:eastAsia="Arial" w:hAnsi="Arial"/>
                <w:sz w:val="20"/>
                <w:szCs w:val="20"/>
              </w:rPr>
              <w:t xml:space="preserve">This constitutes a potential violation of the storage limitation principle under Article 4(1)(e) EUDPR, compounding the breach with an accountability issue that pre-dates the security incident.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
              <w:bottom w:val="single" w:color="2E75B6" w:sz="1"/>
              <w:right w:val="single" w:color="2E75B6" w:sz="1"/>
            </w:tcBorders>
            <w:shd w:fill="EBF2FA" w:val="clear"/>
            <w:tcMar>
              <w:top w:type="dxa" w:w="120"/>
              <w:left w:type="dxa" w:w="160"/>
              <w:bottom w:type="dxa" w:w="120"/>
              <w:right w:type="dxa" w:w="160"/>
            </w:tcMar>
          </w:tcPr>
          <w:p>
            <w:pPr>
              <w:spacing w:after="80"/>
            </w:pPr>
            <w:r>
              <w:rPr>
                <w:rFonts w:ascii="Arial" w:cs="Arial" w:eastAsia="Arial" w:hAnsi="Arial"/>
                <w:b/>
                <w:bCs/>
                <w:color w:val="1F3864"/>
                <w:sz w:val="22"/>
                <w:szCs w:val="22"/>
              </w:rPr>
              <w:t xml:space="preserve">Key Factors Summary</w:t>
            </w:r>
          </w:p>
          <w:p>
            <w:pPr>
              <w:spacing w:after="60" w:line="276"/>
            </w:pPr>
            <w:r>
              <w:rPr>
                <w:rFonts w:ascii="Arial" w:cs="Arial" w:eastAsia="Arial" w:hAnsi="Arial"/>
                <w:b/>
                <w:bCs/>
                <w:sz w:val="20"/>
                <w:szCs w:val="20"/>
              </w:rPr>
              <w:t xml:space="preserve">Aggravating: </w:t>
            </w:r>
            <w:r>
              <w:rPr>
                <w:rFonts w:ascii="Arial" w:cs="Arial" w:eastAsia="Arial" w:hAnsi="Arial"/>
                <w:sz w:val="20"/>
                <w:szCs w:val="20"/>
              </w:rPr>
              <w:t xml:space="preserve">750,000 records; health data (Art. 10); state-sponsored attacker with advanced capabilities; encryption at rest missing (processor failure); data retention violation; 48-hour undetected exfiltration; 27 Member States affected.</w:t>
            </w:r>
          </w:p>
          <w:p>
            <w:pPr>
              <w:spacing w:after="60" w:line="276"/>
            </w:pPr>
            <w:r>
              <w:rPr>
                <w:rFonts w:ascii="Arial" w:cs="Arial" w:eastAsia="Arial" w:hAnsi="Arial"/>
                <w:b/>
                <w:bCs/>
                <w:sz w:val="20"/>
                <w:szCs w:val="20"/>
              </w:rPr>
              <w:t xml:space="preserve">Mitigating: </w:t>
            </w:r>
            <w:r>
              <w:rPr>
                <w:rFonts w:ascii="Arial" w:cs="Arial" w:eastAsia="Arial" w:hAnsi="Arial"/>
                <w:sz w:val="20"/>
                <w:szCs w:val="20"/>
              </w:rPr>
              <w:t xml:space="preserve">Data is pseudonymised; re-identification key is on a separate, uncompromised system; demographic data alone has limited re-identification potential; no evidence of key compromise.</w:t>
            </w:r>
          </w:p>
        </w:tc>
      </w:tr>
    </w:tbl>
    <w:p>
      <w:r>
        <w:br w:type="page"/>
      </w:r>
    </w:p>
    <w:p>
      <w:pPr>
        <w:pBdr>
          <w:bottom w:val="single" w:color="2E75B6" w:sz="4" w:space="4"/>
        </w:pBdr>
        <w:spacing w:before="200" w:after="200"/>
        <w:jc w:val="center"/>
      </w:pPr>
      <w:r>
        <w:rPr>
          <w:rFonts w:ascii="Arial" w:cs="Arial" w:eastAsia="Arial" w:hAnsi="Arial"/>
          <w:b/>
          <w:bCs/>
          <w:color w:val="1F3864"/>
          <w:sz w:val="32"/>
          <w:szCs w:val="32"/>
        </w:rPr>
        <w:t xml:space="preserve">PART C: TEAM WORKBOOK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bCs/>
                <w:sz w:val="20"/>
                <w:szCs w:val="20"/>
              </w:rPr>
              <w:t xml:space="preserve">Team Name / Number</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bCs/>
                <w:sz w:val="20"/>
                <w:szCs w:val="20"/>
              </w:rPr>
              <w:t xml:space="preserve">EUIBA Represented</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bCs/>
                <w:sz w:val="20"/>
                <w:szCs w:val="20"/>
              </w:rPr>
              <w:t xml:space="preserve">Team Members</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bCs/>
                <w:sz w:val="20"/>
                <w:szCs w:val="20"/>
              </w:rPr>
              <w:t xml:space="preserve">Date</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bl>
    <w:p>
      <w:pPr>
        <w:spacing w:after="60"/>
      </w:pPr>
    </w:p>
    <w:p>
      <w:pPr>
        <w:spacing w:after="120" w:line="276"/>
      </w:pPr>
      <w:r>
        <w:rPr>
          <w:rFonts w:ascii="Arial" w:cs="Arial" w:eastAsia="Arial" w:hAnsi="Arial"/>
          <w:i/>
          <w:iCs/>
          <w:sz w:val="22"/>
          <w:szCs w:val="22"/>
        </w:rPr>
        <w:t xml:space="preserve">This scenario has four question blocks. Be prepared to present your “Risk vs. High Risk” verdict and justification during plenary.</w:t>
      </w:r>
    </w:p>
    <w:p>
      <w:pPr>
        <w:pStyle w:val="Heading2"/>
        <w:spacing w:before="280" w:after="160"/>
      </w:pPr>
      <w:r>
        <w:rPr>
          <w:rFonts w:ascii="Arial" w:cs="Arial" w:eastAsia="Arial" w:hAnsi="Arial"/>
          <w:b/>
          <w:bCs/>
          <w:color w:val="2E75B6"/>
          <w:sz w:val="26"/>
          <w:szCs w:val="26"/>
        </w:rPr>
        <w:t xml:space="preserve">C.1 Block 1: Initial Response &amp; Inter-Institutional Communication</w:t>
      </w:r>
    </w:p>
    <w:p>
      <w:pPr>
        <w:spacing w:after="120" w:line="276"/>
      </w:pPr>
      <w:r>
        <w:rPr>
          <w:rFonts w:ascii="Arial" w:cs="Arial" w:eastAsia="Arial" w:hAnsi="Arial"/>
          <w:i/>
          <w:iCs/>
          <w:sz w:val="22"/>
          <w:szCs w:val="22"/>
        </w:rPr>
        <w:t xml:space="preserve">Time allocation: approximately 10 minutes.</w:t>
      </w:r>
    </w:p>
    <w:p>
      <w:pPr>
        <w:pStyle w:val="Heading3"/>
        <w:spacing w:before="200" w:after="120"/>
      </w:pPr>
      <w:r>
        <w:rPr>
          <w:rFonts w:ascii="Arial" w:cs="Arial" w:eastAsia="Arial" w:hAnsi="Arial"/>
          <w:b/>
          <w:bCs/>
          <w:color w:val="2E75B6"/>
          <w:sz w:val="24"/>
          <w:szCs w:val="24"/>
        </w:rPr>
        <w:t xml:space="preserve">Question 1: Immediate Internal Steps</w:t>
      </w:r>
    </w:p>
    <w:p>
      <w:pPr>
        <w:spacing w:after="120" w:line="276"/>
      </w:pPr>
      <w:r>
        <w:rPr>
          <w:rFonts w:ascii="Arial" w:cs="Arial" w:eastAsia="Arial" w:hAnsi="Arial"/>
          <w:sz w:val="22"/>
          <w:szCs w:val="22"/>
        </w:rPr>
        <w:t xml:space="preserve">What are the immediate internal steps and notifications required within EUIBA-Alpha? Map the notification chain.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600"/>
        <w:gridCol w:w="1400"/>
        <w:gridCol w:w="3926"/>
      </w:tblGrid>
      <w:tr>
        <w:tc>
          <w:tcPr>
            <w:tcW w:type="dxa" w:w="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From</w:t>
            </w:r>
          </w:p>
        </w:tc>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To</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Timeframe</w:t>
            </w:r>
          </w:p>
        </w:tc>
        <w:tc>
          <w:tcPr>
            <w:tcW w:type="dxa" w:w="39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Key Information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39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39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39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39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39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39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39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bl>
    <w:p>
      <w:pPr>
        <w:spacing w:after="60"/>
      </w:pPr>
    </w:p>
    <w:p>
      <w:pPr>
        <w:pStyle w:val="Heading3"/>
        <w:spacing w:before="200" w:after="120"/>
      </w:pPr>
      <w:r>
        <w:rPr>
          <w:rFonts w:ascii="Arial" w:cs="Arial" w:eastAsia="Arial" w:hAnsi="Arial"/>
          <w:b/>
          <w:bCs/>
          <w:color w:val="2E75B6"/>
          <w:sz w:val="24"/>
          <w:szCs w:val="24"/>
        </w:rPr>
        <w:t xml:space="preserve">Question 2: Cybersecurity Regulation Obligations</w:t>
      </w:r>
    </w:p>
    <w:p>
      <w:pPr>
        <w:spacing w:after="120" w:line="276"/>
      </w:pPr>
      <w:r>
        <w:rPr>
          <w:rFonts w:ascii="Arial" w:cs="Arial" w:eastAsia="Arial" w:hAnsi="Arial"/>
          <w:sz w:val="22"/>
          <w:szCs w:val="22"/>
        </w:rPr>
        <w:t xml:space="preserve">What are EUIBA-Alpha’s obligations under the </w:t>
      </w:r>
      <w:r>
        <w:rPr>
          <w:rFonts w:ascii="Arial" w:cs="Arial" w:eastAsia="Arial" w:hAnsi="Arial"/>
          <w:b/>
          <w:bCs/>
          <w:sz w:val="22"/>
          <w:szCs w:val="22"/>
        </w:rPr>
        <w:t xml:space="preserve">Cybersecurity Regulation</w:t>
      </w:r>
      <w:r>
        <w:rPr>
          <w:rFonts w:ascii="Arial" w:cs="Arial" w:eastAsia="Arial" w:hAnsi="Arial"/>
          <w:sz w:val="22"/>
          <w:szCs w:val="22"/>
        </w:rPr>
        <w:t xml:space="preserve"> in response to the CERT-EU alert? What specific information must the LCO provide, and within what timeframe?</w:t>
      </w:r>
    </w:p>
    <w:p>
      <w:pPr>
        <w:spacing w:after="40"/>
      </w:pPr>
      <w:r>
        <w:rPr>
          <w:rFonts w:ascii="Arial" w:cs="Arial" w:eastAsia="Arial" w:hAnsi="Arial"/>
          <w:b/>
          <w:bCs/>
          <w:sz w:val="20"/>
          <w:szCs w:val="20"/>
        </w:rPr>
        <w:t xml:space="preserve">Your answer:</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spacing w:after="60"/>
      </w:pPr>
    </w:p>
    <w:p>
      <w:pPr>
        <w:pStyle w:val="Heading3"/>
        <w:spacing w:before="200" w:after="120"/>
      </w:pPr>
      <w:r>
        <w:rPr>
          <w:rFonts w:ascii="Arial" w:cs="Arial" w:eastAsia="Arial" w:hAnsi="Arial"/>
          <w:b/>
          <w:bCs/>
          <w:color w:val="2E75B6"/>
          <w:sz w:val="24"/>
          <w:szCs w:val="24"/>
        </w:rPr>
        <w:t xml:space="preserve">Question 3: Inter-Institutional Communication with EUIBA-Beta</w:t>
      </w:r>
    </w:p>
    <w:p>
      <w:pPr>
        <w:spacing w:after="120" w:line="276"/>
      </w:pPr>
      <w:r>
        <w:rPr>
          <w:rFonts w:ascii="Arial" w:cs="Arial" w:eastAsia="Arial" w:hAnsi="Arial"/>
          <w:sz w:val="22"/>
          <w:szCs w:val="22"/>
        </w:rPr>
        <w:t xml:space="preserve">What information should EUIBA-Alpha exchange with EUIBA-Beta, and in what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Consideration</w:t>
            </w:r>
          </w:p>
        </w:tc>
        <w:tc>
          <w:tcPr>
            <w:tcW w:type="dxa" w:w="50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Your Team’s Position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 Need to secure the re-identification key</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 Whether EUIBA-Beta must be informed of the nature of the compromised data</w:t>
            </w:r>
          </w:p>
        </w:tc>
        <w:tc>
          <w:tcPr>
            <w:tcW w:type="dxa" w:w="5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 Who initiates this communication and through what channel</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 What EUIBA-Beta should do upon notification</w:t>
            </w:r>
          </w:p>
        </w:tc>
        <w:tc>
          <w:tcPr>
            <w:tcW w:type="dxa" w:w="5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bl>
    <w:p>
      <w:pPr>
        <w:spacing w:after="60"/>
      </w:pPr>
    </w:p>
    <w:p>
      <w:pPr>
        <w:pStyle w:val="Heading3"/>
        <w:spacing w:before="200" w:after="120"/>
      </w:pPr>
      <w:r>
        <w:rPr>
          <w:rFonts w:ascii="Arial" w:cs="Arial" w:eastAsia="Arial" w:hAnsi="Arial"/>
          <w:b/>
          <w:bCs/>
          <w:color w:val="2E75B6"/>
          <w:sz w:val="24"/>
          <w:szCs w:val="24"/>
        </w:rPr>
        <w:t xml:space="preserve">Question 4: The 72-Hour Awareness Trigger</w:t>
      </w:r>
    </w:p>
    <w:p>
      <w:pPr>
        <w:spacing w:after="120" w:line="276"/>
      </w:pPr>
      <w:r>
        <w:rPr>
          <w:rFonts w:ascii="Arial" w:cs="Arial" w:eastAsia="Arial" w:hAnsi="Arial"/>
          <w:sz w:val="22"/>
          <w:szCs w:val="22"/>
        </w:rPr>
        <w:t xml:space="preserve">At what moment does the 72-hour notification clock start for EUIBA-Alpha?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900"/>
        <w:gridCol w:w="4326"/>
      </w:tblGrid>
      <w:tr>
        <w:tc>
          <w:tcPr>
            <w:tcW w:type="dxa" w:w="2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Candidate Moment</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Timestamp</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Selected?</w:t>
            </w:r>
          </w:p>
        </w:tc>
        <w:tc>
          <w:tcPr>
            <w:tcW w:type="dxa" w:w="43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Justification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CERT-EU alert received by LCO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14:00 UTC</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CloudVault’s direct notification to EUIBA-Alpha</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15:30 UTC</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t>
            </w:r>
          </w:p>
        </w:tc>
        <w:tc>
          <w:tcPr>
            <w:tcW w:type="dxa" w:w="43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EUIBA-Alpha confirms its data was affected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19:00 UTC</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Other (specify):</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t>
            </w:r>
          </w:p>
        </w:tc>
        <w:tc>
          <w:tcPr>
            <w:tcW w:type="dxa" w:w="43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bl>
    <w:p>
      <w:r>
        <w:br w:type="page"/>
      </w:r>
    </w:p>
    <w:p>
      <w:pPr>
        <w:pStyle w:val="Heading2"/>
        <w:spacing w:before="280" w:after="160"/>
      </w:pPr>
      <w:r>
        <w:rPr>
          <w:rFonts w:ascii="Arial" w:cs="Arial" w:eastAsia="Arial" w:hAnsi="Arial"/>
          <w:b/>
          <w:bCs/>
          <w:color w:val="2E75B6"/>
          <w:sz w:val="26"/>
          <w:szCs w:val="26"/>
        </w:rPr>
        <w:t xml:space="preserve">C.2 Block 2: Personal Data Breach Classification</w:t>
      </w:r>
    </w:p>
    <w:p>
      <w:pPr>
        <w:spacing w:after="120" w:line="276"/>
      </w:pPr>
      <w:r>
        <w:rPr>
          <w:rFonts w:ascii="Arial" w:cs="Arial" w:eastAsia="Arial" w:hAnsi="Arial"/>
          <w:i/>
          <w:iCs/>
          <w:sz w:val="22"/>
          <w:szCs w:val="22"/>
        </w:rPr>
        <w:t xml:space="preserve">Time allocation: approximately 8 minutes.</w:t>
      </w:r>
    </w:p>
    <w:p>
      <w:pPr>
        <w:pStyle w:val="Heading3"/>
        <w:spacing w:before="200" w:after="120"/>
      </w:pPr>
      <w:r>
        <w:rPr>
          <w:rFonts w:ascii="Arial" w:cs="Arial" w:eastAsia="Arial" w:hAnsi="Arial"/>
          <w:b/>
          <w:bCs/>
          <w:color w:val="2E75B6"/>
          <w:sz w:val="24"/>
          <w:szCs w:val="24"/>
        </w:rPr>
        <w:t xml:space="preserve">Question 5: Is This a Personal Data Breach?</w:t>
      </w:r>
    </w:p>
    <w:p>
      <w:pPr>
        <w:spacing w:after="120" w:line="276"/>
      </w:pPr>
      <w:r>
        <w:rPr>
          <w:rFonts w:ascii="Arial" w:cs="Arial" w:eastAsia="Arial" w:hAnsi="Arial"/>
          <w:sz w:val="22"/>
          <w:szCs w:val="22"/>
        </w:rPr>
        <w:t xml:space="preserve">Is this incident a “personal data breach” as defined under Article 3(16) EUDPR? What type(s) of breach are involved?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626"/>
      </w:tblGrid>
      <w:tr>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Breach Type</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Applicable?</w:t>
            </w:r>
          </w:p>
        </w:tc>
        <w:tc>
          <w:tcPr>
            <w:tcW w:type="dxa" w:w="46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Justification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Confidentiality breach (unauthorised disclosure/access)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4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Integrity breach (unauthorised alteration)</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46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Availability breach (loss of access to data)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4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bl>
    <w:p>
      <w:pPr>
        <w:spacing w:after="60"/>
      </w:pPr>
    </w:p>
    <w:p>
      <w:pPr>
        <w:pStyle w:val="Heading3"/>
        <w:spacing w:before="200" w:after="120"/>
      </w:pPr>
      <w:r>
        <w:rPr>
          <w:rFonts w:ascii="Arial" w:cs="Arial" w:eastAsia="Arial" w:hAnsi="Arial"/>
          <w:b/>
          <w:bCs/>
          <w:color w:val="2E75B6"/>
          <w:sz w:val="24"/>
          <w:szCs w:val="24"/>
        </w:rPr>
        <w:t xml:space="preserve">Question 6: Effect of Pseudonymisation on Classification</w:t>
      </w:r>
    </w:p>
    <w:p>
      <w:pPr>
        <w:spacing w:after="120" w:line="276"/>
      </w:pPr>
      <w:r>
        <w:rPr>
          <w:rFonts w:ascii="Arial" w:cs="Arial" w:eastAsia="Arial" w:hAnsi="Arial"/>
          <w:sz w:val="22"/>
          <w:szCs w:val="22"/>
        </w:rPr>
        <w:t xml:space="preserve">Does the pseudonymisation affect the breach classification? Is pseudonymised data still personal data under the EUDPR?</w:t>
      </w:r>
    </w:p>
    <w:p>
      <w:pPr>
        <w:spacing w:after="40"/>
      </w:pPr>
      <w:r>
        <w:rPr>
          <w:rFonts w:ascii="Arial" w:cs="Arial" w:eastAsia="Arial" w:hAnsi="Arial"/>
          <w:b/>
          <w:bCs/>
          <w:sz w:val="20"/>
          <w:szCs w:val="20"/>
        </w:rPr>
        <w:t xml:space="preserve">Your answer:</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spacing w:after="60"/>
      </w:pPr>
    </w:p>
    <w:p>
      <w:pPr>
        <w:pStyle w:val="Heading3"/>
        <w:spacing w:before="200" w:after="120"/>
      </w:pPr>
      <w:r>
        <w:rPr>
          <w:rFonts w:ascii="Arial" w:cs="Arial" w:eastAsia="Arial" w:hAnsi="Arial"/>
          <w:b/>
          <w:bCs/>
          <w:color w:val="2E75B6"/>
          <w:sz w:val="24"/>
          <w:szCs w:val="24"/>
        </w:rPr>
        <w:t xml:space="preserve">Question 7: Health Status Indicator Classification</w:t>
      </w:r>
    </w:p>
    <w:p>
      <w:pPr>
        <w:spacing w:after="120" w:line="276"/>
      </w:pPr>
      <w:r>
        <w:rPr>
          <w:rFonts w:ascii="Arial" w:cs="Arial" w:eastAsia="Arial" w:hAnsi="Arial"/>
          <w:sz w:val="22"/>
          <w:szCs w:val="22"/>
        </w:rPr>
        <w:t xml:space="preserve">How does the “health status indicator” (Good/Fair/Poor) affect the classification? Is this “data concerning health” within the meaning of Article 10 EUDPR?</w:t>
      </w:r>
    </w:p>
    <w:p>
      <w:pPr>
        <w:spacing w:after="40"/>
      </w:pPr>
      <w:r>
        <w:rPr>
          <w:rFonts w:ascii="Arial" w:cs="Arial" w:eastAsia="Arial" w:hAnsi="Arial"/>
          <w:b/>
          <w:bCs/>
          <w:sz w:val="20"/>
          <w:szCs w:val="20"/>
        </w:rPr>
        <w:t xml:space="preserve">Your position and reasoning:</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spacing w:after="60"/>
      </w:pPr>
    </w:p>
    <w:p>
      <w:pPr>
        <w:pStyle w:val="Heading3"/>
        <w:spacing w:before="200" w:after="120"/>
      </w:pPr>
      <w:r>
        <w:rPr>
          <w:rFonts w:ascii="Arial" w:cs="Arial" w:eastAsia="Arial" w:hAnsi="Arial"/>
          <w:b/>
          <w:bCs/>
          <w:color w:val="2E75B6"/>
          <w:sz w:val="24"/>
          <w:szCs w:val="24"/>
        </w:rPr>
        <w:t xml:space="preserve">Question 8: Data Retention Oversight</w:t>
      </w:r>
    </w:p>
    <w:p>
      <w:pPr>
        <w:spacing w:after="120" w:line="276"/>
      </w:pPr>
      <w:r>
        <w:rPr>
          <w:rFonts w:ascii="Arial" w:cs="Arial" w:eastAsia="Arial" w:hAnsi="Arial"/>
          <w:sz w:val="22"/>
          <w:szCs w:val="22"/>
        </w:rPr>
        <w:t xml:space="preserve">Does the data retention oversight (7-year-old data still present, 2 years beyond the retention period) constitute a separate data protection violation beyond the breach itself?</w:t>
      </w:r>
    </w:p>
    <w:p>
      <w:pPr>
        <w:spacing w:after="40"/>
      </w:pPr>
      <w:r>
        <w:rPr>
          <w:rFonts w:ascii="Arial" w:cs="Arial" w:eastAsia="Arial" w:hAnsi="Arial"/>
          <w:b/>
          <w:bCs/>
          <w:sz w:val="20"/>
          <w:szCs w:val="20"/>
        </w:rPr>
        <w:t xml:space="preserve">Your answer:</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spacing w:after="60"/>
      </w:pPr>
    </w:p>
    <w:p>
      <w:pPr>
        <w:pStyle w:val="Heading2"/>
        <w:spacing w:before="280" w:after="160"/>
      </w:pPr>
      <w:r>
        <w:rPr>
          <w:rFonts w:ascii="Arial" w:cs="Arial" w:eastAsia="Arial" w:hAnsi="Arial"/>
          <w:b/>
          <w:bCs/>
          <w:color w:val="2E75B6"/>
          <w:sz w:val="26"/>
          <w:szCs w:val="26"/>
        </w:rPr>
        <w:t xml:space="preserve">C.3 Block 3: Risk Assessment (Risk vs. High Risk Debate)</w:t>
      </w:r>
    </w:p>
    <w:p>
      <w:pPr>
        <w:spacing w:after="120" w:line="276"/>
      </w:pPr>
      <w:r>
        <w:rPr>
          <w:rFonts w:ascii="Arial" w:cs="Arial" w:eastAsia="Arial" w:hAnsi="Arial"/>
          <w:i/>
          <w:iCs/>
          <w:sz w:val="22"/>
          <w:szCs w:val="22"/>
        </w:rPr>
        <w:t xml:space="preserve">Time allocation: approximately 10 minutes.</w:t>
      </w:r>
    </w:p>
    <w:p>
      <w:pPr>
        <w:pStyle w:val="Heading3"/>
        <w:spacing w:before="200" w:after="120"/>
      </w:pPr>
      <w:r>
        <w:rPr>
          <w:rFonts w:ascii="Arial" w:cs="Arial" w:eastAsia="Arial" w:hAnsi="Arial"/>
          <w:b/>
          <w:bCs/>
          <w:color w:val="2E75B6"/>
          <w:sz w:val="24"/>
          <w:szCs w:val="24"/>
        </w:rPr>
        <w:t xml:space="preserve">Question 9: Your Risk Verdict</w:t>
      </w:r>
    </w:p>
    <w:p>
      <w:pPr>
        <w:spacing w:after="120" w:line="276"/>
      </w:pPr>
      <w:r>
        <w:rPr>
          <w:rFonts w:ascii="Arial" w:cs="Arial" w:eastAsia="Arial" w:hAnsi="Arial"/>
          <w:b/>
          <w:bCs/>
          <w:sz w:val="22"/>
          <w:szCs w:val="22"/>
        </w:rPr>
        <w:t xml:space="preserve">Based on ALL available information (including the inject if received), choose between “Risk” and “High Risk.”</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0000" w:sz="4"/>
              <w:left w:val="single" w:color="C00000" w:sz="1"/>
              <w:bottom w:val="single" w:color="C00000" w:sz="1"/>
              <w:right w:val="single" w:color="C00000" w:sz="1"/>
            </w:tcBorders>
            <w:shd w:fill="FFF0F0" w:val="clear"/>
            <w:tcMar>
              <w:top w:type="dxa" w:w="120"/>
              <w:left w:type="dxa" w:w="160"/>
              <w:bottom w:type="dxa" w:w="120"/>
              <w:right w:type="dxa" w:w="160"/>
            </w:tcMar>
          </w:tcPr>
          <w:p>
            <w:pPr>
              <w:spacing w:after="80"/>
            </w:pPr>
            <w:r>
              <w:rPr>
                <w:rFonts w:ascii="Arial" w:cs="Arial" w:eastAsia="Arial" w:hAnsi="Arial"/>
                <w:b/>
                <w:bCs/>
                <w:color w:val="C00000"/>
                <w:sz w:val="22"/>
                <w:szCs w:val="22"/>
              </w:rPr>
              <w:t xml:space="preserve">YOUR TEAM’S VERDICT</w:t>
            </w:r>
          </w:p>
          <w:p>
            <w:pPr>
              <w:spacing w:after="60" w:line="276"/>
            </w:pPr>
            <w:r>
              <w:rPr>
                <w:rFonts w:ascii="Arial" w:cs="Arial" w:eastAsia="Arial" w:hAnsi="Arial"/>
                <w:sz w:val="20"/>
                <w:szCs w:val="20"/>
              </w:rPr>
              <w:t xml:space="preserve">This scenario is designed for the debate between these two levels:</w:t>
            </w:r>
          </w:p>
          <w:p>
            <w:pPr>
              <w:spacing w:after="60" w:line="276"/>
            </w:pPr>
            <w:r>
              <w:rPr>
                <w:rFonts w:ascii="Arial" w:cs="Arial" w:eastAsia="Arial" w:hAnsi="Arial"/>
                <w:sz w:val="20"/>
                <w:szCs w:val="20"/>
              </w:rPr>
              <w:t xml:space="preserve"/>
            </w:r>
          </w:p>
          <w:p>
            <w:pPr>
              <w:spacing w:after="60" w:line="276"/>
            </w:pPr>
            <w:r>
              <w:rPr>
                <w:rFonts w:ascii="Arial" w:cs="Arial" w:eastAsia="Arial" w:hAnsi="Arial"/>
                <w:sz w:val="20"/>
                <w:szCs w:val="20"/>
              </w:rPr>
              <w:t xml:space="preserve">☐  RISK — Notification to EDPS required; communication to data subjects NOT required</w:t>
            </w:r>
          </w:p>
          <w:p>
            <w:pPr>
              <w:spacing w:after="60" w:line="276"/>
            </w:pPr>
            <w:r>
              <w:rPr>
                <w:rFonts w:ascii="Arial" w:cs="Arial" w:eastAsia="Arial" w:hAnsi="Arial"/>
                <w:sz w:val="20"/>
                <w:szCs w:val="20"/>
              </w:rPr>
              <w:t xml:space="preserve"/>
            </w:r>
          </w:p>
          <w:p>
            <w:pPr>
              <w:spacing w:after="60" w:line="276"/>
            </w:pPr>
            <w:r>
              <w:rPr>
                <w:rFonts w:ascii="Arial" w:cs="Arial" w:eastAsia="Arial" w:hAnsi="Arial"/>
                <w:sz w:val="20"/>
                <w:szCs w:val="20"/>
              </w:rPr>
              <w:t xml:space="preserve">☐  HIGH RISK — Notification to EDPS AND communication to data subjects required</w:t>
            </w:r>
          </w:p>
        </w:tc>
      </w:tr>
    </w:tbl>
    <w:p>
      <w:pPr>
        <w:spacing w:after="60"/>
      </w:pPr>
    </w:p>
    <w:p>
      <w:pPr>
        <w:pStyle w:val="Heading3"/>
        <w:spacing w:before="200" w:after="120"/>
      </w:pPr>
      <w:r>
        <w:rPr>
          <w:rFonts w:ascii="Arial" w:cs="Arial" w:eastAsia="Arial" w:hAnsi="Arial"/>
          <w:b/>
          <w:bCs/>
          <w:color w:val="2E75B6"/>
          <w:sz w:val="24"/>
          <w:szCs w:val="24"/>
        </w:rPr>
        <w:t xml:space="preserve">Question 10: Structured Argument</w:t>
      </w:r>
    </w:p>
    <w:p>
      <w:pPr>
        <w:spacing w:after="120" w:line="276"/>
      </w:pPr>
      <w:r>
        <w:rPr>
          <w:rFonts w:ascii="Arial" w:cs="Arial" w:eastAsia="Arial" w:hAnsi="Arial"/>
          <w:sz w:val="22"/>
          <w:szCs w:val="22"/>
        </w:rPr>
        <w:t xml:space="preserve">Justify your assessment by addressing EACH of the following factors: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4926"/>
      </w:tblGrid>
      <w:tr>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Factor</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 / ↓</w:t>
            </w:r>
          </w:p>
        </w:tc>
        <w:tc>
          <w:tcPr>
            <w:tcW w:type="dxa" w:w="49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Your Analysis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Nature and volume of data (750,000 pseudonymised records with demographic and health data)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49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Sensitivity (health status indicator — Article 10 special categories?)</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49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Effectiveness of pseudonymisation and separation of re-identification key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49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Ease of re-identification through alternative means (quasi-identifiers, external databases)</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49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Severity of potential consequences (discrimination, reputational damage, social disadvantage)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49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Nature of the threat actor (suspected state-sponsored group with advanced capabilities)</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49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data retention oversight (exposure of older data beyond retention period)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49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The processor’s contractual failure (missing encryption at rest)</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49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[POST-INJECT] Undocumented free-text notes with medical conditions and political opinions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49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bl>
    <w:p>
      <w:r>
        <w:br w:type="page"/>
      </w:r>
    </w:p>
    <w:p>
      <w:pPr>
        <w:pStyle w:val="Heading2"/>
        <w:spacing w:before="280" w:after="160"/>
      </w:pPr>
      <w:r>
        <w:rPr>
          <w:rFonts w:ascii="Arial" w:cs="Arial" w:eastAsia="Arial" w:hAnsi="Arial"/>
          <w:b/>
          <w:bCs/>
          <w:color w:val="2E75B6"/>
          <w:sz w:val="26"/>
          <w:szCs w:val="26"/>
        </w:rPr>
        <w:t xml:space="preserve">C.4 Block 4: External Notification &amp; Communication Obligations</w:t>
      </w:r>
    </w:p>
    <w:p>
      <w:pPr>
        <w:spacing w:after="120" w:line="276"/>
      </w:pPr>
      <w:r>
        <w:rPr>
          <w:rFonts w:ascii="Arial" w:cs="Arial" w:eastAsia="Arial" w:hAnsi="Arial"/>
          <w:i/>
          <w:iCs/>
          <w:sz w:val="22"/>
          <w:szCs w:val="22"/>
        </w:rPr>
        <w:t xml:space="preserve">Time allocation: approximately 5 minutes.</w:t>
      </w:r>
    </w:p>
    <w:p>
      <w:pPr>
        <w:pStyle w:val="Heading3"/>
        <w:spacing w:before="200" w:after="120"/>
      </w:pPr>
      <w:r>
        <w:rPr>
          <w:rFonts w:ascii="Arial" w:cs="Arial" w:eastAsia="Arial" w:hAnsi="Arial"/>
          <w:b/>
          <w:bCs/>
          <w:color w:val="2E75B6"/>
          <w:sz w:val="24"/>
          <w:szCs w:val="24"/>
        </w:rPr>
        <w:t xml:space="preserve">Question 11: Notification Obligations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1200"/>
        <w:gridCol w:w="3626"/>
      </w:tblGrid>
      <w:t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Obligation</w:t>
            </w:r>
          </w:p>
        </w:tc>
        <w:tc>
          <w:tcPr>
            <w:tcW w:type="dxa" w:w="1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Required? (Yes/No)</w:t>
            </w:r>
          </w:p>
        </w:tc>
        <w:tc>
          <w:tcPr>
            <w:tcW w:type="dxa" w:w="1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Deadline</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Responsible</w:t>
            </w:r>
          </w:p>
        </w:tc>
        <w:tc>
          <w:tcPr>
            <w:tcW w:type="dxa" w:w="36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Key Content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 Notification to EDPS (Art. 34 EUDPR)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 Notification to CERT-EU (Cybersecurity Reg.)</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36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 Communication to data subjects (Art. 35 EUDPR)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 Other supervisory authorities</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36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 Law enforcement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 Other EUIBAs</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36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bl>
    <w:p>
      <w:pPr>
        <w:spacing w:after="60"/>
      </w:pPr>
    </w:p>
    <w:p>
      <w:pPr>
        <w:pStyle w:val="Heading3"/>
        <w:spacing w:before="200" w:after="120"/>
      </w:pPr>
      <w:r>
        <w:rPr>
          <w:rFonts w:ascii="Arial" w:cs="Arial" w:eastAsia="Arial" w:hAnsi="Arial"/>
          <w:b/>
          <w:bCs/>
          <w:color w:val="2E75B6"/>
          <w:sz w:val="24"/>
          <w:szCs w:val="24"/>
        </w:rPr>
        <w:t xml:space="preserve">Question 12: Data Subject Communication Key Elements</w:t>
      </w:r>
    </w:p>
    <w:p>
      <w:pPr>
        <w:spacing w:after="120" w:line="276"/>
      </w:pPr>
      <w:r>
        <w:rPr>
          <w:rFonts w:ascii="Arial" w:cs="Arial" w:eastAsia="Arial" w:hAnsi="Arial"/>
          <w:sz w:val="22"/>
          <w:szCs w:val="22"/>
        </w:rPr>
        <w:t xml:space="preserve">If communication to data subjects IS required, draft the key elements following Article 35 EUDPR. Consider the challenges of communicating about pseudonymised health data to 750,000 individuals across 27 Member States.</w:t>
      </w:r>
    </w:p>
    <w:p>
      <w:pPr>
        <w:spacing w:after="120" w:line="276"/>
      </w:pPr>
      <w:r>
        <w:rPr>
          <w:rFonts w:ascii="Arial" w:cs="Arial" w:eastAsia="Arial" w:hAnsi="Arial"/>
          <w:i/>
          <w:iCs/>
          <w:sz w:val="22"/>
          <w:szCs w:val="22"/>
        </w:rPr>
        <w:t xml:space="preserve">Complete Section C.6 for the full draft.</w:t>
      </w:r>
    </w:p>
    <w:p>
      <w:pPr>
        <w:spacing w:after="60"/>
      </w:pPr>
    </w:p>
    <w:p>
      <w:pPr>
        <w:pStyle w:val="Heading3"/>
        <w:spacing w:before="200" w:after="120"/>
      </w:pPr>
      <w:r>
        <w:rPr>
          <w:rFonts w:ascii="Arial" w:cs="Arial" w:eastAsia="Arial" w:hAnsi="Arial"/>
          <w:b/>
          <w:bCs/>
          <w:color w:val="2E75B6"/>
          <w:sz w:val="24"/>
          <w:szCs w:val="24"/>
        </w:rPr>
        <w:t xml:space="preserve">Question 13: Processor Accountability</w:t>
      </w:r>
    </w:p>
    <w:p>
      <w:pPr>
        <w:spacing w:after="120" w:line="276"/>
      </w:pPr>
      <w:r>
        <w:rPr>
          <w:rFonts w:ascii="Arial" w:cs="Arial" w:eastAsia="Arial" w:hAnsi="Arial"/>
          <w:sz w:val="22"/>
          <w:szCs w:val="22"/>
        </w:rPr>
        <w:t xml:space="preserve">What is EUIBA-Alpha’s position regarding CloudVault’s contractual failure on encryption? What accountability measures should EUIBA-Alpha consider?</w:t>
      </w:r>
    </w:p>
    <w:p>
      <w:pPr>
        <w:spacing w:after="40"/>
      </w:pPr>
      <w:r>
        <w:rPr>
          <w:rFonts w:ascii="Arial" w:cs="Arial" w:eastAsia="Arial" w:hAnsi="Arial"/>
          <w:b/>
          <w:bCs/>
          <w:sz w:val="20"/>
          <w:szCs w:val="20"/>
        </w:rPr>
        <w:t xml:space="preserve">Accountability measures:</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spacing w:after="60"/>
      </w:pPr>
    </w:p>
    <w:p>
      <w:pPr>
        <w:spacing w:after="120" w:line="276"/>
      </w:pPr>
      <w:r>
        <w:rPr>
          <w:rFonts w:ascii="Arial" w:cs="Arial" w:eastAsia="Arial" w:hAnsi="Arial"/>
          <w:sz w:val="22"/>
          <w:szCs w:val="22"/>
        </w:rPr>
        <w:t xml:space="preserve">How does CloudVault’s failure affect EUIBA-Alpha’s own accountability under the EUDPR?</w:t>
      </w:r>
    </w:p>
    <w:p>
      <w:pPr>
        <w:spacing w:after="40"/>
      </w:pPr>
      <w:r>
        <w:rPr>
          <w:rFonts w:ascii="Arial" w:cs="Arial" w:eastAsia="Arial" w:hAnsi="Arial"/>
          <w:b/>
          <w:bCs/>
          <w:sz w:val="20"/>
          <w:szCs w:val="20"/>
        </w:rPr>
        <w:t xml:space="preserve">Impact on controller accountability:</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spacing w:after="60"/>
      </w:pPr>
    </w:p>
    <w:p>
      <w:r>
        <w:br w:type="page"/>
      </w:r>
    </w:p>
    <w:p>
      <w:pPr>
        <w:pStyle w:val="Heading2"/>
        <w:spacing w:before="280" w:after="160"/>
      </w:pPr>
      <w:r>
        <w:rPr>
          <w:rFonts w:ascii="Arial" w:cs="Arial" w:eastAsia="Arial" w:hAnsi="Arial"/>
          <w:b/>
          <w:bCs/>
          <w:color w:val="2E75B6"/>
          <w:sz w:val="26"/>
          <w:szCs w:val="26"/>
        </w:rPr>
        <w:t xml:space="preserve">C.5 Risk Assessment Template</w:t>
      </w:r>
    </w:p>
    <w:p>
      <w:pPr>
        <w:spacing w:after="120" w:line="276"/>
      </w:pPr>
      <w:r>
        <w:rPr>
          <w:rFonts w:ascii="Arial" w:cs="Arial" w:eastAsia="Arial" w:hAnsi="Arial"/>
          <w:i/>
          <w:iCs/>
          <w:sz w:val="22"/>
          <w:szCs w:val="22"/>
        </w:rPr>
        <w:t xml:space="preserve">Complete this structured template as a formal record of your team’s risk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bCs/>
                <w:sz w:val="20"/>
                <w:szCs w:val="20"/>
              </w:rPr>
              <w:t xml:space="preserve">Incident Reference</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PEDRRA-SC2-[Team Number]</w:t>
            </w:r>
          </w:p>
        </w:tc>
      </w:tr>
      <w:tr>
        <w:tc>
          <w:tcPr>
            <w:tcW w:type="dxa" w:w="26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bCs/>
                <w:sz w:val="20"/>
                <w:szCs w:val="20"/>
              </w:rPr>
              <w:t xml:space="preserve">Date of Assessment</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bCs/>
                <w:sz w:val="20"/>
                <w:szCs w:val="20"/>
              </w:rPr>
              <w:t xml:space="preserve">Assessors</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bl>
    <w:p>
      <w:pPr>
        <w:spacing w:after="60"/>
      </w:pPr>
    </w:p>
    <w:p>
      <w:pPr>
        <w:pStyle w:val="Heading3"/>
        <w:spacing w:before="200" w:after="120"/>
      </w:pPr>
      <w:r>
        <w:rPr>
          <w:rFonts w:ascii="Arial" w:cs="Arial" w:eastAsia="Arial" w:hAnsi="Arial"/>
          <w:b/>
          <w:bCs/>
          <w:color w:val="2E75B6"/>
          <w:sz w:val="24"/>
          <w:szCs w:val="24"/>
        </w:rPr>
        <w:t xml:space="preserve">1. Incident Summary</w:t>
      </w:r>
    </w:p>
    <w:p>
      <w:pPr>
        <w:spacing w:after="40"/>
      </w:pPr>
      <w:r>
        <w:rPr>
          <w:rFonts w:ascii="Arial" w:cs="Arial" w:eastAsia="Arial" w:hAnsi="Arial"/>
          <w:b/>
          <w:bCs/>
          <w:sz w:val="20"/>
          <w:szCs w:val="20"/>
        </w:rPr>
        <w:t xml:space="preserve">Brief description (2–3 sentences):</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spacing w:after="60"/>
      </w:pPr>
    </w:p>
    <w:p>
      <w:pPr>
        <w:pStyle w:val="Heading3"/>
        <w:spacing w:before="200" w:after="120"/>
      </w:pPr>
      <w:r>
        <w:rPr>
          <w:rFonts w:ascii="Arial" w:cs="Arial" w:eastAsia="Arial" w:hAnsi="Arial"/>
          <w:b/>
          <w:bCs/>
          <w:color w:val="2E75B6"/>
          <w:sz w:val="24"/>
          <w:szCs w:val="24"/>
        </w:rPr>
        <w:t xml:space="preserve">2. Surface of Attack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Element</w:t>
            </w:r>
          </w:p>
        </w:tc>
        <w:tc>
          <w:tcPr>
            <w:tcW w:type="dxa" w:w="60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categories involved</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Number of data subjects</w:t>
            </w:r>
          </w:p>
        </w:tc>
        <w:tc>
          <w:tcPr>
            <w:tcW w:type="dxa" w:w="6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subjects’ profiles (vulnerability)</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Special categories (Art. 10 EUDPR)?</w:t>
            </w:r>
          </w:p>
        </w:tc>
        <w:tc>
          <w:tcPr>
            <w:tcW w:type="dxa" w:w="6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Ease of re-identification</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Geographic scope</w:t>
            </w:r>
          </w:p>
        </w:tc>
        <w:tc>
          <w:tcPr>
            <w:tcW w:type="dxa" w:w="6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 involvement</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bl>
    <w:p>
      <w:pPr>
        <w:spacing w:after="60"/>
      </w:pPr>
    </w:p>
    <w:p>
      <w:pPr>
        <w:pStyle w:val="Heading3"/>
        <w:spacing w:before="200" w:after="120"/>
      </w:pPr>
      <w:r>
        <w:rPr>
          <w:rFonts w:ascii="Arial" w:cs="Arial" w:eastAsia="Arial" w:hAnsi="Arial"/>
          <w:b/>
          <w:bCs/>
          <w:color w:val="2E75B6"/>
          <w:sz w:val="24"/>
          <w:szCs w:val="24"/>
        </w:rPr>
        <w:t xml:space="preserve">3. Adverse Effects on Data Subjects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226"/>
      </w:tblGrid>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Potential Adverse Effect</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42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Justification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Discrimination based on health status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Re-identification and targeting by state actor</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4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Loss of control over personal data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Social disadvantage / stigmatisation</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4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Identity theft (if re-identified)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Psychological distress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4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Other (specify):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bl>
    <w:p>
      <w:pPr>
        <w:spacing w:after="60"/>
      </w:pPr>
    </w:p>
    <w:p>
      <w:pPr>
        <w:pStyle w:val="Heading3"/>
        <w:spacing w:before="200" w:after="120"/>
      </w:pPr>
      <w:r>
        <w:rPr>
          <w:rFonts w:ascii="Arial" w:cs="Arial" w:eastAsia="Arial" w:hAnsi="Arial"/>
          <w:b/>
          <w:bCs/>
          <w:color w:val="2E75B6"/>
          <w:sz w:val="24"/>
          <w:szCs w:val="24"/>
        </w:rPr>
        <w:t xml:space="preserve">4. Increasing and Decreasing Factors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Increasing Factors</w:t>
            </w:r>
          </w:p>
        </w:tc>
        <w:tc>
          <w:tcPr>
            <w:tcW w:type="dxa" w:w="4513"/>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Decreasing Factors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451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451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451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451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451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451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bl>
    <w:p>
      <w:pPr>
        <w:spacing w:after="60"/>
      </w:pPr>
    </w:p>
    <w:p>
      <w:pPr>
        <w:pStyle w:val="Heading3"/>
        <w:spacing w:before="200" w:after="120"/>
      </w:pPr>
      <w:r>
        <w:rPr>
          <w:rFonts w:ascii="Arial" w:cs="Arial" w:eastAsia="Arial" w:hAnsi="Arial"/>
          <w:b/>
          <w:bCs/>
          <w:color w:val="2E75B6"/>
          <w:sz w:val="24"/>
          <w:szCs w:val="24"/>
        </w:rPr>
        <w:t xml:space="preserve">5. Overall Risk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026"/>
      </w:tblGrid>
      <w:tr>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Risk Level</w:t>
            </w:r>
          </w:p>
        </w:tc>
        <w:tc>
          <w:tcPr>
            <w:tcW w:type="dxa" w:w="1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Selected?</w:t>
            </w:r>
          </w:p>
        </w:tc>
        <w:tc>
          <w:tcPr>
            <w:tcW w:type="dxa" w:w="60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High Risk</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t>
            </w:r>
          </w:p>
        </w:tc>
        <w:tc>
          <w:tcPr>
            <w:tcW w:type="dxa" w:w="6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bl>
    <w:p>
      <w:pPr>
        <w:spacing w:after="60"/>
      </w:pPr>
    </w:p>
    <w:p>
      <w:pPr>
        <w:pStyle w:val="Heading3"/>
        <w:spacing w:before="200" w:after="120"/>
      </w:pPr>
      <w:r>
        <w:rPr>
          <w:rFonts w:ascii="Arial" w:cs="Arial" w:eastAsia="Arial" w:hAnsi="Arial"/>
          <w:b/>
          <w:bCs/>
          <w:color w:val="2E75B6"/>
          <w:sz w:val="24"/>
          <w:szCs w:val="24"/>
        </w:rPr>
        <w:t xml:space="preserve">6. Notification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200"/>
        <w:gridCol w:w="2626"/>
      </w:tblGrid>
      <w:tr>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Obligation</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Required?</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Deadline</w:t>
            </w:r>
          </w:p>
        </w:tc>
        <w:tc>
          <w:tcPr>
            <w:tcW w:type="dxa" w:w="26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Responsible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Notification to EDPS (Art. 34)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2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Communication to data subjects (Art. 35)</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26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Notification to CERT-EU</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2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Internal record (Art. 34(5))</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26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Other notifications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2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bl>
    <w:p>
      <w:r>
        <w:br w:type="page"/>
      </w:r>
    </w:p>
    <w:p>
      <w:pPr>
        <w:pStyle w:val="Heading2"/>
        <w:spacing w:before="280" w:after="160"/>
      </w:pPr>
      <w:r>
        <w:rPr>
          <w:rFonts w:ascii="Arial" w:cs="Arial" w:eastAsia="Arial" w:hAnsi="Arial"/>
          <w:b/>
          <w:bCs/>
          <w:color w:val="2E75B6"/>
          <w:sz w:val="26"/>
          <w:szCs w:val="26"/>
        </w:rPr>
        <w:t xml:space="preserve">C.6 Data Subject Communication Draft</w:t>
      </w:r>
    </w:p>
    <w:p>
      <w:pPr>
        <w:spacing w:after="120" w:line="276"/>
      </w:pPr>
      <w:r>
        <w:rPr>
          <w:rFonts w:ascii="Arial" w:cs="Arial" w:eastAsia="Arial" w:hAnsi="Arial"/>
          <w:i/>
          <w:iCs/>
          <w:sz w:val="22"/>
          <w:szCs w:val="22"/>
        </w:rPr>
        <w:t xml:space="preserve">Complete if your team concluded High Risk. Draft the communication following Article 35 EUDPR.</w:t>
      </w:r>
    </w:p>
    <w:p>
      <w:pPr>
        <w:spacing w:after="120" w:line="276"/>
      </w:pPr>
      <w:r>
        <w:rPr>
          <w:rFonts w:ascii="Arial" w:cs="Arial" w:eastAsia="Arial" w:hAnsi="Arial"/>
          <w:b/>
          <w:bCs/>
          <w:sz w:val="22"/>
          <w:szCs w:val="22"/>
        </w:rPr>
        <w:t xml:space="preserve">Challenge: </w:t>
      </w:r>
      <w:r>
        <w:rPr>
          <w:rFonts w:ascii="Arial" w:cs="Arial" w:eastAsia="Arial" w:hAnsi="Arial"/>
          <w:sz w:val="22"/>
          <w:szCs w:val="22"/>
        </w:rPr>
        <w:t xml:space="preserve">You must communicate about pseudonymised health data to 750,000 individuals across 27 Member States. Consider language, clarity, and actionability.</w:t>
      </w:r>
    </w:p>
    <w:p>
      <w:pPr>
        <w:spacing w:after="60"/>
      </w:pPr>
    </w:p>
    <w:p>
      <w:pPr>
        <w:spacing w:after="40"/>
      </w:pPr>
      <w:r>
        <w:rPr>
          <w:rFonts w:ascii="Arial" w:cs="Arial" w:eastAsia="Arial" w:hAnsi="Arial"/>
          <w:b/>
          <w:bCs/>
          <w:sz w:val="20"/>
          <w:szCs w:val="20"/>
        </w:rPr>
        <w:t xml:space="preserve">Nature of the breach (clear, non-technical language):</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spacing w:after="60"/>
      </w:pPr>
    </w:p>
    <w:p>
      <w:pPr>
        <w:spacing w:after="40"/>
      </w:pPr>
      <w:r>
        <w:rPr>
          <w:rFonts w:ascii="Arial" w:cs="Arial" w:eastAsia="Arial" w:hAnsi="Arial"/>
          <w:b/>
          <w:bCs/>
          <w:sz w:val="20"/>
          <w:szCs w:val="20"/>
        </w:rPr>
        <w:t xml:space="preserve">Name and contact details of the DPO:</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spacing w:after="60"/>
      </w:pPr>
    </w:p>
    <w:p>
      <w:pPr>
        <w:spacing w:after="40"/>
      </w:pPr>
      <w:r>
        <w:rPr>
          <w:rFonts w:ascii="Arial" w:cs="Arial" w:eastAsia="Arial" w:hAnsi="Arial"/>
          <w:b/>
          <w:bCs/>
          <w:sz w:val="20"/>
          <w:szCs w:val="20"/>
        </w:rPr>
        <w:t xml:space="preserve">Likely consequences for the data subject:</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spacing w:after="60"/>
      </w:pPr>
    </w:p>
    <w:p>
      <w:pPr>
        <w:spacing w:after="40"/>
      </w:pPr>
      <w:r>
        <w:rPr>
          <w:rFonts w:ascii="Arial" w:cs="Arial" w:eastAsia="Arial" w:hAnsi="Arial"/>
          <w:b/>
          <w:bCs/>
          <w:sz w:val="20"/>
          <w:szCs w:val="20"/>
        </w:rPr>
        <w:t xml:space="preserve">Measures taken by EUIBA-Alpha to address the breach:</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spacing w:after="60"/>
      </w:pPr>
    </w:p>
    <w:p>
      <w:pPr>
        <w:spacing w:after="40"/>
      </w:pPr>
      <w:r>
        <w:rPr>
          <w:rFonts w:ascii="Arial" w:cs="Arial" w:eastAsia="Arial" w:hAnsi="Arial"/>
          <w:b/>
          <w:bCs/>
          <w:sz w:val="20"/>
          <w:szCs w:val="20"/>
        </w:rPr>
        <w:t xml:space="preserve">Measures the data subject can take to protect themselves:</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spacing w:after="60"/>
      </w:pPr>
    </w:p>
    <w:p>
      <w:pPr>
        <w:spacing w:after="40"/>
      </w:pPr>
      <w:r>
        <w:rPr>
          <w:rFonts w:ascii="Arial" w:cs="Arial" w:eastAsia="Arial" w:hAnsi="Arial"/>
          <w:b/>
          <w:bCs/>
          <w:sz w:val="20"/>
          <w:szCs w:val="20"/>
        </w:rPr>
        <w:t xml:space="preserve">Delivery method (how will you reach 750,000 individuals across 27 MS?):</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spacing w:after="60"/>
      </w:pPr>
    </w:p>
    <w:p>
      <w:pPr>
        <w:spacing w:after="40"/>
      </w:pPr>
      <w:r>
        <w:rPr>
          <w:rFonts w:ascii="Arial" w:cs="Arial" w:eastAsia="Arial" w:hAnsi="Arial"/>
          <w:b/>
          <w:bCs/>
          <w:sz w:val="20"/>
          <w:szCs w:val="20"/>
        </w:rPr>
        <w:t xml:space="preserve">Language considerations:</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spacing w:after="60"/>
      </w:pPr>
    </w:p>
    <w:p>
      <w:r>
        <w:br w:type="page"/>
      </w:r>
    </w:p>
    <w:p>
      <w:pPr>
        <w:pBdr>
          <w:bottom w:val="single" w:color="D4A017" w:sz="4" w:space="4"/>
        </w:pBdr>
        <w:spacing w:before="200" w:after="200"/>
        <w:jc w:val="center"/>
      </w:pPr>
      <w:r>
        <w:rPr>
          <w:rFonts w:ascii="Arial" w:cs="Arial" w:eastAsia="Arial" w:hAnsi="Arial"/>
          <w:b/>
          <w:bCs/>
          <w:color w:val="D4A017"/>
          <w:sz w:val="32"/>
          <w:szCs w:val="32"/>
        </w:rPr>
        <w:t xml:space="preserve">PART D: INJECT CARD</w:t>
      </w:r>
    </w:p>
    <w:p>
      <w:pPr>
        <w:spacing w:after="120" w:line="276"/>
      </w:pPr>
      <w:r>
        <w:rPr>
          <w:rFonts w:ascii="Arial" w:cs="Arial" w:eastAsia="Arial" w:hAnsi="Arial"/>
          <w:i/>
          <w:iCs/>
          <w:sz w:val="22"/>
          <w:szCs w:val="22"/>
        </w:rPr>
        <w:t xml:space="preserve">Distribute to teams at T+20 minutes. Read aloud.</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0000" w:sz="6"/>
              <w:left w:val="single" w:color="C00000" w:sz="6"/>
              <w:bottom w:val="single" w:color="C00000" w:sz="6"/>
              <w:right w:val="single" w:color="C00000" w:sz="6"/>
            </w:tcBorders>
            <w:shd w:fill="FFF0F0" w:val="clear"/>
            <w:tcMar>
              <w:top w:type="dxa" w:w="200"/>
              <w:left w:type="dxa" w:w="200"/>
              <w:bottom w:type="dxa" w:w="200"/>
              <w:right w:type="dxa" w:w="200"/>
            </w:tcMar>
          </w:tcPr>
          <w:p>
            <w:pPr>
              <w:spacing w:after="160"/>
              <w:jc w:val="center"/>
            </w:pPr>
            <w:r>
              <w:rPr>
                <w:rFonts w:ascii="Arial" w:cs="Arial" w:eastAsia="Arial" w:hAnsi="Arial"/>
                <w:b/>
                <w:bCs/>
                <w:color w:val="C00000"/>
                <w:sz w:val="28"/>
                <w:szCs w:val="28"/>
              </w:rPr>
              <w:t xml:space="preserve">⚠ INJECT — Day 2, 09:00 UTC Update</w:t>
            </w:r>
          </w:p>
          <w:p>
            <w:pPr>
              <w:spacing w:after="120" w:line="276"/>
            </w:pPr>
            <w:r>
              <w:rPr>
                <w:rFonts w:ascii="Arial" w:cs="Arial" w:eastAsia="Arial" w:hAnsi="Arial"/>
                <w:sz w:val="22"/>
                <w:szCs w:val="22"/>
              </w:rPr>
              <w:t xml:space="preserve">EUIBA-Alpha’s forensic analysis team has completed a deeper review of the exfiltrated data. They confirm the following:</w:t>
            </w:r>
          </w:p>
          <w:p>
            <w:pPr>
              <w:spacing w:after="120" w:line="300"/>
            </w:pPr>
            <w:r>
              <w:rPr>
                <w:rFonts w:ascii="Arial" w:cs="Arial" w:eastAsia="Arial" w:hAnsi="Arial"/>
                <w:b/>
                <w:bCs/>
                <w:sz w:val="22"/>
                <w:szCs w:val="22"/>
              </w:rPr>
              <w:t xml:space="preserve">1. Undocumented Free-Text Fields: </w:t>
            </w:r>
            <w:r>
              <w:rPr>
                <w:rFonts w:ascii="Arial" w:cs="Arial" w:eastAsia="Arial" w:hAnsi="Arial"/>
                <w:sz w:val="22"/>
                <w:szCs w:val="22"/>
              </w:rPr>
              <w:t xml:space="preserve">Approximately </w:t>
            </w:r>
            <w:r>
              <w:rPr>
                <w:rFonts w:ascii="Arial" w:cs="Arial" w:eastAsia="Arial" w:hAnsi="Arial"/>
                <w:b/>
                <w:bCs/>
                <w:sz w:val="22"/>
                <w:szCs w:val="22"/>
              </w:rPr>
              <w:t xml:space="preserve">500 records</w:t>
            </w:r>
            <w:r>
              <w:rPr>
                <w:rFonts w:ascii="Arial" w:cs="Arial" w:eastAsia="Arial" w:hAnsi="Arial"/>
                <w:sz w:val="22"/>
                <w:szCs w:val="22"/>
              </w:rPr>
              <w:t xml:space="preserve"> within the dataset contained free-text “notes” fields added by research coordinators. These notes include references to:</w:t>
            </w:r>
          </w:p>
          <w:p>
            <w:pPr>
              <w:spacing w:after="60" w:line="276"/>
              <w:ind w:left="720"/>
            </w:pPr>
            <w:r>
              <w:rPr>
                <w:rFonts w:ascii="Arial" w:cs="Arial" w:eastAsia="Arial" w:hAnsi="Arial"/>
                <w:b/>
                <w:bCs/>
                <w:sz w:val="22"/>
                <w:szCs w:val="22"/>
              </w:rPr>
              <w:t xml:space="preserve">• Specific medical conditions</w:t>
            </w:r>
          </w:p>
          <w:p>
            <w:pPr>
              <w:spacing w:after="60" w:line="276"/>
              <w:ind w:left="720"/>
            </w:pPr>
            <w:r>
              <w:rPr>
                <w:rFonts w:ascii="Arial" w:cs="Arial" w:eastAsia="Arial" w:hAnsi="Arial"/>
                <w:b/>
                <w:bCs/>
                <w:sz w:val="22"/>
                <w:szCs w:val="22"/>
              </w:rPr>
              <w:t xml:space="preserve">• Disability status</w:t>
            </w:r>
          </w:p>
          <w:p>
            <w:pPr>
              <w:spacing w:after="120" w:line="276"/>
              <w:ind w:left="720"/>
            </w:pPr>
            <w:r>
              <w:rPr>
                <w:rFonts w:ascii="Arial" w:cs="Arial" w:eastAsia="Arial" w:hAnsi="Arial"/>
                <w:b/>
                <w:bCs/>
                <w:sz w:val="22"/>
                <w:szCs w:val="22"/>
              </w:rPr>
              <w:t xml:space="preserve">• Political opinions </w:t>
            </w:r>
            <w:r>
              <w:rPr>
                <w:rFonts w:ascii="Arial" w:cs="Arial" w:eastAsia="Arial" w:hAnsi="Arial"/>
                <w:sz w:val="22"/>
                <w:szCs w:val="22"/>
              </w:rPr>
              <w:t xml:space="preserve">expressed during health policy consultations</w:t>
            </w:r>
          </w:p>
          <w:p>
            <w:pPr>
              <w:spacing w:after="120" w:line="276"/>
            </w:pPr>
            <w:r>
              <w:rPr>
                <w:rFonts w:ascii="Arial" w:cs="Arial" w:eastAsia="Arial" w:hAnsi="Arial"/>
                <w:b/>
                <w:bCs/>
                <w:sz w:val="22"/>
                <w:szCs w:val="22"/>
              </w:rPr>
              <w:t xml:space="preserve">2. Undocumented Processing: </w:t>
            </w:r>
            <w:r>
              <w:rPr>
                <w:rFonts w:ascii="Arial" w:cs="Arial" w:eastAsia="Arial" w:hAnsi="Arial"/>
                <w:sz w:val="22"/>
                <w:szCs w:val="22"/>
              </w:rPr>
              <w:t xml:space="preserve">These free-text fields were </w:t>
            </w:r>
            <w:r>
              <w:rPr>
                <w:rFonts w:ascii="Arial" w:cs="Arial" w:eastAsia="Arial" w:hAnsi="Arial"/>
                <w:b/>
                <w:bCs/>
                <w:sz w:val="22"/>
                <w:szCs w:val="22"/>
              </w:rPr>
              <w:t xml:space="preserve">NOT</w:t>
            </w:r>
            <w:r>
              <w:rPr>
                <w:rFonts w:ascii="Arial" w:cs="Arial" w:eastAsia="Arial" w:hAnsi="Arial"/>
                <w:sz w:val="22"/>
                <w:szCs w:val="22"/>
              </w:rPr>
              <w:t xml:space="preserve"> part of the original database schema and were </w:t>
            </w:r>
            <w:r>
              <w:rPr>
                <w:rFonts w:ascii="Arial" w:cs="Arial" w:eastAsia="Arial" w:hAnsi="Arial"/>
                <w:b/>
                <w:bCs/>
                <w:sz w:val="22"/>
                <w:szCs w:val="22"/>
              </w:rPr>
              <w:t xml:space="preserve">not documented in the RoPA or the DPIA.</w:t>
            </w:r>
            <w:r>
              <w:rPr>
                <w:rFonts w:ascii="Arial" w:cs="Arial" w:eastAsia="Arial" w:hAnsi="Arial"/>
                <w:sz w:val="22"/>
                <w:szCs w:val="22"/>
              </w:rPr>
              <w:t xml:space="preserve"> They represent an undocumented expansion of the processing scope.</w:t>
            </w:r>
          </w:p>
          <w:p>
            <w:pPr>
              <w:spacing w:before="200"/>
            </w:pPr>
          </w:p>
          <w:p>
            <w:pPr>
              <w:pBdr>
                <w:top w:val="single" w:color="C00000" w:sz="2" w:space="4"/>
              </w:pBdr>
              <w:spacing w:after="0"/>
              <w:jc w:val="center"/>
            </w:pPr>
            <w:r>
              <w:rPr>
                <w:rFonts w:ascii="Arial" w:cs="Arial" w:eastAsia="Arial" w:hAnsi="Arial"/>
                <w:b/>
                <w:bCs/>
                <w:color w:val="C00000"/>
                <w:sz w:val="24"/>
                <w:szCs w:val="24"/>
              </w:rPr>
              <w:t xml:space="preserve">REVISED QUESTIONS</w:t>
            </w:r>
          </w:p>
          <w:p>
            <w:pPr>
              <w:spacing w:after="80" w:line="276"/>
            </w:pPr>
            <w:r>
              <w:rPr>
                <w:rFonts w:ascii="Arial" w:cs="Arial" w:eastAsia="Arial" w:hAnsi="Arial"/>
                <w:b/>
                <w:bCs/>
                <w:sz w:val="22"/>
                <w:szCs w:val="22"/>
              </w:rPr>
              <w:t xml:space="preserve">(a) </w:t>
            </w:r>
            <w:r>
              <w:rPr>
                <w:rFonts w:ascii="Arial" w:cs="Arial" w:eastAsia="Arial" w:hAnsi="Arial"/>
                <w:sz w:val="22"/>
                <w:szCs w:val="22"/>
              </w:rPr>
              <w:t xml:space="preserve">How does the discovery of undocumented special-category data change your risk assessment?</w:t>
            </w:r>
          </w:p>
          <w:p>
            <w:pPr>
              <w:spacing w:after="80" w:line="276"/>
            </w:pPr>
            <w:r>
              <w:rPr>
                <w:rFonts w:ascii="Arial" w:cs="Arial" w:eastAsia="Arial" w:hAnsi="Arial"/>
                <w:b/>
                <w:bCs/>
                <w:sz w:val="22"/>
                <w:szCs w:val="22"/>
              </w:rPr>
              <w:t xml:space="preserve">(b) </w:t>
            </w:r>
            <w:r>
              <w:rPr>
                <w:rFonts w:ascii="Arial" w:cs="Arial" w:eastAsia="Arial" w:hAnsi="Arial"/>
                <w:sz w:val="22"/>
                <w:szCs w:val="22"/>
              </w:rPr>
              <w:t xml:space="preserve">Does this constitute a separate data protection violation beyond the breach itself?</w:t>
            </w:r>
          </w:p>
          <w:p>
            <w:pPr>
              <w:spacing w:after="0" w:line="276"/>
            </w:pPr>
            <w:r>
              <w:rPr>
                <w:rFonts w:ascii="Arial" w:cs="Arial" w:eastAsia="Arial" w:hAnsi="Arial"/>
                <w:b/>
                <w:bCs/>
                <w:sz w:val="22"/>
                <w:szCs w:val="22"/>
              </w:rPr>
              <w:t xml:space="preserve">(c) </w:t>
            </w:r>
            <w:r>
              <w:rPr>
                <w:rFonts w:ascii="Arial" w:cs="Arial" w:eastAsia="Arial" w:hAnsi="Arial"/>
                <w:sz w:val="22"/>
                <w:szCs w:val="22"/>
              </w:rPr>
              <w:t xml:space="preserve">How should this be reflected in the notification to the EDPS?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017" w:sz="4"/>
              <w:left w:val="single" w:color="D4A017" w:sz="1"/>
              <w:bottom w:val="single" w:color="D4A017" w:sz="1"/>
              <w:right w:val="single" w:color="D4A017" w:sz="1"/>
            </w:tcBorders>
            <w:shd w:fill="FFF8E1" w:val="clear"/>
            <w:tcMar>
              <w:top w:type="dxa" w:w="120"/>
              <w:left w:type="dxa" w:w="160"/>
              <w:bottom w:type="dxa" w:w="120"/>
              <w:right w:type="dxa" w:w="160"/>
            </w:tcMar>
          </w:tcPr>
          <w:p>
            <w:pPr>
              <w:spacing w:after="80"/>
            </w:pPr>
            <w:r>
              <w:rPr>
                <w:rFonts w:ascii="Arial" w:cs="Arial" w:eastAsia="Arial" w:hAnsi="Arial"/>
                <w:b/>
                <w:bCs/>
                <w:color w:val="D4A017"/>
                <w:sz w:val="22"/>
                <w:szCs w:val="22"/>
              </w:rPr>
              <w:t xml:space="preserve">Facilitator Note</w:t>
            </w:r>
          </w:p>
          <w:p>
            <w:pPr>
              <w:spacing w:after="60" w:line="276"/>
            </w:pPr>
            <w:r>
              <w:rPr>
                <w:rFonts w:ascii="Arial" w:cs="Arial" w:eastAsia="Arial" w:hAnsi="Arial"/>
                <w:sz w:val="20"/>
                <w:szCs w:val="20"/>
              </w:rPr>
              <w:t xml:space="preserve">This inject escalates the scenario from debatable to near-certain “High Risk.”</w:t>
            </w:r>
          </w:p>
          <w:p>
            <w:pPr>
              <w:spacing w:after="60" w:line="276"/>
            </w:pPr>
            <w:r>
              <w:rPr>
                <w:rFonts w:ascii="Arial" w:cs="Arial" w:eastAsia="Arial" w:hAnsi="Arial"/>
                <w:sz w:val="20"/>
                <w:szCs w:val="20"/>
              </w:rPr>
              <w:t xml:space="preserve">The undocumented free-text fields containing Article 10 special categories (health conditions, political opinions) remove most arguments for a “Risk only” classification.</w:t>
            </w:r>
          </w:p>
          <w:p>
            <w:pPr>
              <w:spacing w:after="60" w:line="276"/>
            </w:pPr>
            <w:r>
              <w:rPr>
                <w:rFonts w:ascii="Arial" w:cs="Arial" w:eastAsia="Arial" w:hAnsi="Arial"/>
                <w:sz w:val="20"/>
                <w:szCs w:val="20"/>
              </w:rPr>
              <w:t xml:space="preserve">It also introduces accountability issues around data quality and RoPA completeness.</w:t>
            </w:r>
          </w:p>
          <w:p>
            <w:pPr>
              <w:spacing w:after="60" w:line="276"/>
            </w:pPr>
            <w:r>
              <w:rPr>
                <w:rFonts w:ascii="Arial" w:cs="Arial" w:eastAsia="Arial" w:hAnsi="Arial"/>
                <w:sz w:val="20"/>
                <w:szCs w:val="20"/>
              </w:rPr>
              <w:t xml:space="preserve">Watch for teams that had firmly argued “Risk” — they must now reassess under new evidence, simulating a real-world evolving breach investigation.</w:t>
            </w:r>
          </w:p>
        </w:tc>
      </w:tr>
    </w:tbl>
    <w:p>
      <w:r>
        <w:br w:type="page"/>
      </w:r>
    </w:p>
    <w:p>
      <w:pPr>
        <w:pBdr>
          <w:bottom w:val="single" w:color="C00000" w:sz="4" w:space="4"/>
        </w:pBdr>
        <w:spacing w:before="200" w:after="200"/>
        <w:jc w:val="center"/>
      </w:pPr>
      <w:r>
        <w:rPr>
          <w:rFonts w:ascii="Arial" w:cs="Arial" w:eastAsia="Arial" w:hAnsi="Arial"/>
          <w:b/>
          <w:bCs/>
          <w:color w:val="C00000"/>
          <w:sz w:val="32"/>
          <w:szCs w:val="32"/>
        </w:rPr>
        <w:t xml:space="preserve">PART E: SOLUTION KEY (FACILITATOR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0000" w:sz="4"/>
              <w:left w:val="single" w:color="C00000" w:sz="1"/>
              <w:bottom w:val="single" w:color="C00000" w:sz="1"/>
              <w:right w:val="single" w:color="C00000" w:sz="1"/>
            </w:tcBorders>
            <w:shd w:fill="FFF0F0" w:val="clear"/>
            <w:tcMar>
              <w:top w:type="dxa" w:w="120"/>
              <w:left w:type="dxa" w:w="160"/>
              <w:bottom w:type="dxa" w:w="120"/>
              <w:right w:type="dxa" w:w="160"/>
            </w:tcMar>
          </w:tcPr>
          <w:p>
            <w:pPr>
              <w:spacing w:after="80"/>
            </w:pPr>
            <w:r>
              <w:rPr>
                <w:rFonts w:ascii="Arial" w:cs="Arial" w:eastAsia="Arial" w:hAnsi="Arial"/>
                <w:b/>
                <w:bCs/>
                <w:color w:val="C00000"/>
                <w:sz w:val="22"/>
                <w:szCs w:val="22"/>
              </w:rPr>
              <w:t xml:space="preserve">CONFIDENTIAL</w:t>
            </w:r>
          </w:p>
          <w:p>
            <w:pPr>
              <w:spacing w:after="60" w:line="276"/>
            </w:pPr>
            <w:r>
              <w:rPr>
                <w:rFonts w:ascii="Arial" w:cs="Arial" w:eastAsia="Arial" w:hAnsi="Arial"/>
                <w:sz w:val="20"/>
                <w:szCs w:val="20"/>
              </w:rPr>
              <w:t xml:space="preserve">This section contains model answers. Do NOT distribute to participants.</w:t>
            </w:r>
          </w:p>
          <w:p>
            <w:pPr>
              <w:spacing w:after="60" w:line="276"/>
            </w:pPr>
            <w:r>
              <w:rPr>
                <w:rFonts w:ascii="Arial" w:cs="Arial" w:eastAsia="Arial" w:hAnsi="Arial"/>
                <w:sz w:val="20"/>
                <w:szCs w:val="20"/>
              </w:rPr>
              <w:t xml:space="preserve">These are reference answers. Accept well-reasoned alternatives.</w:t>
            </w:r>
          </w:p>
        </w:tc>
      </w:tr>
    </w:tbl>
    <w:p>
      <w:pPr>
        <w:pStyle w:val="Heading2"/>
        <w:spacing w:before="280" w:after="160"/>
      </w:pPr>
      <w:r>
        <w:rPr>
          <w:rFonts w:ascii="Arial" w:cs="Arial" w:eastAsia="Arial" w:hAnsi="Arial"/>
          <w:b/>
          <w:bCs/>
          <w:color w:val="2E75B6"/>
          <w:sz w:val="26"/>
          <w:szCs w:val="26"/>
        </w:rPr>
        <w:t xml:space="preserve">E.1 Model Answers — Block 1: Initial Response &amp; Communication</w:t>
      </w:r>
    </w:p>
    <w:p>
      <w:pPr>
        <w:pStyle w:val="Heading3"/>
        <w:spacing w:before="200" w:after="120"/>
      </w:pPr>
      <w:r>
        <w:rPr>
          <w:rFonts w:ascii="Arial" w:cs="Arial" w:eastAsia="Arial" w:hAnsi="Arial"/>
          <w:b/>
          <w:bCs/>
          <w:color w:val="2E75B6"/>
          <w:sz w:val="24"/>
          <w:szCs w:val="24"/>
        </w:rPr>
        <w:t xml:space="preserve">Question 1: Immediate Internal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
              <w:bottom w:val="single" w:color="2E7D32" w:sz="1"/>
              <w:right w:val="single" w:color="2E7D32" w:sz="1"/>
            </w:tcBorders>
            <w:shd w:fill="F0FAF0" w:val="clear"/>
            <w:tcMar>
              <w:top w:type="dxa" w:w="120"/>
              <w:left w:type="dxa" w:w="160"/>
              <w:bottom w:type="dxa" w:w="120"/>
              <w:right w:type="dxa" w:w="160"/>
            </w:tcMar>
          </w:tcPr>
          <w:p>
            <w:pPr>
              <w:spacing w:after="80"/>
            </w:pPr>
            <w:r>
              <w:rPr>
                <w:rFonts w:ascii="Arial" w:cs="Arial" w:eastAsia="Arial" w:hAnsi="Arial"/>
                <w:b/>
                <w:bCs/>
                <w:color w:val="2E7D32"/>
                <w:sz w:val="22"/>
                <w:szCs w:val="22"/>
              </w:rPr>
              <w:t xml:space="preserve">Model Answer</w:t>
            </w:r>
          </w:p>
          <w:p>
            <w:pPr>
              <w:spacing w:after="60" w:line="276"/>
            </w:pPr>
            <w:r>
              <w:rPr>
                <w:rFonts w:ascii="Arial" w:cs="Arial" w:eastAsia="Arial" w:hAnsi="Arial"/>
                <w:b/>
                <w:bCs/>
                <w:sz w:val="20"/>
                <w:szCs w:val="20"/>
              </w:rPr>
              <w:t xml:space="preserve">1. </w:t>
            </w:r>
            <w:r>
              <w:rPr>
                <w:rFonts w:ascii="Arial" w:cs="Arial" w:eastAsia="Arial" w:hAnsi="Arial"/>
                <w:sz w:val="20"/>
                <w:szCs w:val="20"/>
              </w:rPr>
              <w:t xml:space="preserve">LCO immediately coordinates with CERT-EU (Cybersecurity Regulation obligation).</w:t>
            </w:r>
          </w:p>
          <w:p>
            <w:pPr>
              <w:spacing w:after="60" w:line="276"/>
            </w:pPr>
            <w:r>
              <w:rPr>
                <w:rFonts w:ascii="Arial" w:cs="Arial" w:eastAsia="Arial" w:hAnsi="Arial"/>
                <w:b/>
                <w:bCs/>
                <w:sz w:val="20"/>
                <w:szCs w:val="20"/>
              </w:rPr>
              <w:t xml:space="preserve">2. </w:t>
            </w:r>
            <w:r>
              <w:rPr>
                <w:rFonts w:ascii="Arial" w:cs="Arial" w:eastAsia="Arial" w:hAnsi="Arial"/>
                <w:sz w:val="20"/>
                <w:szCs w:val="20"/>
              </w:rPr>
              <w:t xml:space="preserve">IT Security initiates containment: review access logs for CloudVault connections, revoke or rotate any API keys or credentials used to access the cloud storage.</w:t>
            </w:r>
          </w:p>
          <w:p>
            <w:pPr>
              <w:spacing w:after="60" w:line="276"/>
            </w:pPr>
            <w:r>
              <w:rPr>
                <w:rFonts w:ascii="Arial" w:cs="Arial" w:eastAsia="Arial" w:hAnsi="Arial"/>
                <w:b/>
                <w:bCs/>
                <w:sz w:val="20"/>
                <w:szCs w:val="20"/>
              </w:rPr>
              <w:t xml:space="preserve">3. </w:t>
            </w:r>
            <w:r>
              <w:rPr>
                <w:rFonts w:ascii="Arial" w:cs="Arial" w:eastAsia="Arial" w:hAnsi="Arial"/>
                <w:sz w:val="20"/>
                <w:szCs w:val="20"/>
              </w:rPr>
              <w:t xml:space="preserve">LCO informs the DPO of the incident (same day, as soon as personal data involvement is suspected).</w:t>
            </w:r>
          </w:p>
          <w:p>
            <w:pPr>
              <w:spacing w:after="60" w:line="276"/>
            </w:pPr>
            <w:r>
              <w:rPr>
                <w:rFonts w:ascii="Arial" w:cs="Arial" w:eastAsia="Arial" w:hAnsi="Arial"/>
                <w:b/>
                <w:bCs/>
                <w:sz w:val="20"/>
                <w:szCs w:val="20"/>
              </w:rPr>
              <w:t xml:space="preserve">4. </w:t>
            </w:r>
            <w:r>
              <w:rPr>
                <w:rFonts w:ascii="Arial" w:cs="Arial" w:eastAsia="Arial" w:hAnsi="Arial"/>
                <w:sz w:val="20"/>
                <w:szCs w:val="20"/>
              </w:rPr>
              <w:t xml:space="preserve">DPO initiates the breach assessment process: confirms scope of data, reviews the DPA, contacts CloudVault for detailed forensics.</w:t>
            </w:r>
          </w:p>
          <w:p>
            <w:pPr>
              <w:spacing w:after="60" w:line="276"/>
            </w:pPr>
            <w:r>
              <w:rPr>
                <w:rFonts w:ascii="Arial" w:cs="Arial" w:eastAsia="Arial" w:hAnsi="Arial"/>
                <w:b/>
                <w:bCs/>
                <w:sz w:val="20"/>
                <w:szCs w:val="20"/>
              </w:rPr>
              <w:t xml:space="preserve">5. </w:t>
            </w:r>
            <w:r>
              <w:rPr>
                <w:rFonts w:ascii="Arial" w:cs="Arial" w:eastAsia="Arial" w:hAnsi="Arial"/>
                <w:sz w:val="20"/>
                <w:szCs w:val="20"/>
              </w:rPr>
              <w:t xml:space="preserve">DPO briefs Senior Management and Legal on the incident, preliminary assessment, and likely notification obligations.</w:t>
            </w:r>
          </w:p>
          <w:p>
            <w:pPr>
              <w:spacing w:after="60" w:line="276"/>
            </w:pPr>
            <w:r>
              <w:rPr>
                <w:rFonts w:ascii="Arial" w:cs="Arial" w:eastAsia="Arial" w:hAnsi="Arial"/>
                <w:b/>
                <w:bCs/>
                <w:sz w:val="20"/>
                <w:szCs w:val="20"/>
              </w:rPr>
              <w:t xml:space="preserve">6. </w:t>
            </w:r>
            <w:r>
              <w:rPr>
                <w:rFonts w:ascii="Arial" w:cs="Arial" w:eastAsia="Arial" w:hAnsi="Arial"/>
                <w:sz w:val="20"/>
                <w:szCs w:val="20"/>
              </w:rPr>
              <w:t xml:space="preserve">DPO contacts EUIBA-Beta to request heightened security monitoring of the re-identification key system.</w:t>
            </w:r>
          </w:p>
          <w:p>
            <w:pPr>
              <w:spacing w:after="60" w:line="276"/>
            </w:pPr>
            <w:r>
              <w:rPr>
                <w:rFonts w:ascii="Arial" w:cs="Arial" w:eastAsia="Arial" w:hAnsi="Arial"/>
                <w:b/>
                <w:bCs/>
                <w:sz w:val="20"/>
                <w:szCs w:val="20"/>
              </w:rPr>
              <w:t xml:space="preserve">7. </w:t>
            </w:r>
            <w:r>
              <w:rPr>
                <w:rFonts w:ascii="Arial" w:cs="Arial" w:eastAsia="Arial" w:hAnsi="Arial"/>
                <w:sz w:val="20"/>
                <w:szCs w:val="20"/>
              </w:rPr>
              <w:t xml:space="preserve">IT Security requests CloudVault’s full forensic report and engages CERT-EU’s technical support.</w:t>
            </w:r>
          </w:p>
          <w:p>
            <w:pPr>
              <w:spacing w:after="60" w:line="276"/>
            </w:pPr>
            <w:r>
              <w:rPr>
                <w:rFonts w:ascii="Arial" w:cs="Arial" w:eastAsia="Arial" w:hAnsi="Arial"/>
                <w:b/>
                <w:bCs/>
                <w:sz w:val="20"/>
                <w:szCs w:val="20"/>
              </w:rPr>
              <w:t xml:space="preserve">8. </w:t>
            </w:r>
            <w:r>
              <w:rPr>
                <w:rFonts w:ascii="Arial" w:cs="Arial" w:eastAsia="Arial" w:hAnsi="Arial"/>
                <w:sz w:val="20"/>
                <w:szCs w:val="20"/>
              </w:rPr>
              <w:t xml:space="preserve">DPO begins drafting the EDPS notification (even if preliminary; information may be provided in phases).</w:t>
            </w:r>
          </w:p>
        </w:tc>
      </w:tr>
    </w:tbl>
    <w:p>
      <w:pPr>
        <w:spacing w:after="60"/>
      </w:pPr>
    </w:p>
    <w:p>
      <w:pPr>
        <w:pStyle w:val="Heading3"/>
        <w:spacing w:before="200" w:after="120"/>
      </w:pPr>
      <w:r>
        <w:rPr>
          <w:rFonts w:ascii="Arial" w:cs="Arial" w:eastAsia="Arial" w:hAnsi="Arial"/>
          <w:b/>
          <w:bCs/>
          <w:color w:val="2E75B6"/>
          <w:sz w:val="24"/>
          <w:szCs w:val="24"/>
        </w:rPr>
        <w:t xml:space="preserve">Question 2: Cybersecurity Regulation Obligations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
              <w:bottom w:val="single" w:color="2E7D32" w:sz="1"/>
              <w:right w:val="single" w:color="2E7D32" w:sz="1"/>
            </w:tcBorders>
            <w:shd w:fill="F0FAF0" w:val="clear"/>
            <w:tcMar>
              <w:top w:type="dxa" w:w="120"/>
              <w:left w:type="dxa" w:w="160"/>
              <w:bottom w:type="dxa" w:w="120"/>
              <w:right w:type="dxa" w:w="160"/>
            </w:tcMar>
          </w:tcPr>
          <w:p>
            <w:pPr>
              <w:spacing w:after="80"/>
            </w:pPr>
            <w:r>
              <w:rPr>
                <w:rFonts w:ascii="Arial" w:cs="Arial" w:eastAsia="Arial" w:hAnsi="Arial"/>
                <w:b/>
                <w:bCs/>
                <w:color w:val="2E7D32"/>
                <w:sz w:val="22"/>
                <w:szCs w:val="22"/>
              </w:rPr>
              <w:t xml:space="preserve">Model Answer</w:t>
            </w:r>
          </w:p>
          <w:p>
            <w:pPr>
              <w:spacing w:after="60" w:line="276"/>
            </w:pPr>
            <w:r>
              <w:rPr>
                <w:rFonts w:ascii="Arial" w:cs="Arial" w:eastAsia="Arial" w:hAnsi="Arial"/>
                <w:sz w:val="20"/>
                <w:szCs w:val="20"/>
              </w:rPr>
              <w:t xml:space="preserve">Under Regulation (EU, Euratom) 2023/2841, EUIBA-Alpha must:</w:t>
            </w:r>
          </w:p>
          <w:p>
            <w:pPr>
              <w:spacing w:after="60" w:line="276"/>
            </w:pPr>
            <w:r>
              <w:rPr>
                <w:rFonts w:ascii="Arial" w:cs="Arial" w:eastAsia="Arial" w:hAnsi="Arial"/>
                <w:b/>
                <w:bCs/>
                <w:sz w:val="20"/>
                <w:szCs w:val="20"/>
              </w:rPr>
              <w:t xml:space="preserve">• </w:t>
            </w:r>
            <w:r>
              <w:rPr>
                <w:rFonts w:ascii="Arial" w:cs="Arial" w:eastAsia="Arial" w:hAnsi="Arial"/>
                <w:sz w:val="20"/>
                <w:szCs w:val="20"/>
              </w:rPr>
              <w:t xml:space="preserve">Respond to the CERT-EU alert and cooperate with the coordination process for significant incidents (Art. 19).</w:t>
            </w:r>
          </w:p>
          <w:p>
            <w:pPr>
              <w:spacing w:after="60" w:line="276"/>
            </w:pPr>
            <w:r>
              <w:rPr>
                <w:rFonts w:ascii="Arial" w:cs="Arial" w:eastAsia="Arial" w:hAnsi="Arial"/>
                <w:b/>
                <w:bCs/>
                <w:sz w:val="20"/>
                <w:szCs w:val="20"/>
              </w:rPr>
              <w:t xml:space="preserve">• </w:t>
            </w:r>
            <w:r>
              <w:rPr>
                <w:rFonts w:ascii="Arial" w:cs="Arial" w:eastAsia="Arial" w:hAnsi="Arial"/>
                <w:sz w:val="20"/>
                <w:szCs w:val="20"/>
              </w:rPr>
              <w:t xml:space="preserve">The LCO must provide CERT-EU with: nature and scope of the incident, initial technical assessment, containment measures taken, and potential cross-border impact.</w:t>
            </w:r>
          </w:p>
          <w:p>
            <w:pPr>
              <w:spacing w:after="60" w:line="276"/>
            </w:pPr>
            <w:r>
              <w:rPr>
                <w:rFonts w:ascii="Arial" w:cs="Arial" w:eastAsia="Arial" w:hAnsi="Arial"/>
                <w:b/>
                <w:bCs/>
                <w:sz w:val="20"/>
                <w:szCs w:val="20"/>
              </w:rPr>
              <w:t xml:space="preserve">• </w:t>
            </w:r>
            <w:r>
              <w:rPr>
                <w:rFonts w:ascii="Arial" w:cs="Arial" w:eastAsia="Arial" w:hAnsi="Arial"/>
                <w:sz w:val="20"/>
                <w:szCs w:val="20"/>
              </w:rPr>
              <w:t xml:space="preserve">Timeframe: without undue delay after becoming aware. The LCO should respond to CERT-EU the same day (Day 1).</w:t>
            </w:r>
          </w:p>
          <w:p>
            <w:pPr>
              <w:spacing w:after="60" w:line="276"/>
            </w:pPr>
            <w:r>
              <w:rPr>
                <w:rFonts w:ascii="Arial" w:cs="Arial" w:eastAsia="Arial" w:hAnsi="Arial"/>
                <w:b/>
                <w:bCs/>
                <w:sz w:val="20"/>
                <w:szCs w:val="20"/>
              </w:rPr>
              <w:t xml:space="preserve">• </w:t>
            </w:r>
            <w:r>
              <w:rPr>
                <w:rFonts w:ascii="Arial" w:cs="Arial" w:eastAsia="Arial" w:hAnsi="Arial"/>
                <w:sz w:val="20"/>
                <w:szCs w:val="20"/>
              </w:rPr>
              <w:t xml:space="preserve">The LCO must also inform EUIBA-Alpha’s own management and coordinate with the DPO regarding the intersection of cybersecurity incident handling and personal data breach management.</w:t>
            </w:r>
          </w:p>
        </w:tc>
      </w:tr>
    </w:tbl>
    <w:p>
      <w:pPr>
        <w:spacing w:after="60"/>
      </w:pPr>
    </w:p>
    <w:p>
      <w:pPr>
        <w:pStyle w:val="Heading3"/>
        <w:spacing w:before="200" w:after="120"/>
      </w:pPr>
      <w:r>
        <w:rPr>
          <w:rFonts w:ascii="Arial" w:cs="Arial" w:eastAsia="Arial" w:hAnsi="Arial"/>
          <w:b/>
          <w:bCs/>
          <w:color w:val="2E75B6"/>
          <w:sz w:val="24"/>
          <w:szCs w:val="24"/>
        </w:rPr>
        <w:t xml:space="preserve">Question 3: Communication with EUIBA-Beta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
              <w:bottom w:val="single" w:color="2E7D32" w:sz="1"/>
              <w:right w:val="single" w:color="2E7D32" w:sz="1"/>
            </w:tcBorders>
            <w:shd w:fill="F0FAF0" w:val="clear"/>
            <w:tcMar>
              <w:top w:type="dxa" w:w="120"/>
              <w:left w:type="dxa" w:w="160"/>
              <w:bottom w:type="dxa" w:w="120"/>
              <w:right w:type="dxa" w:w="160"/>
            </w:tcMar>
          </w:tcPr>
          <w:p>
            <w:pPr>
              <w:spacing w:after="80"/>
            </w:pPr>
            <w:r>
              <w:rPr>
                <w:rFonts w:ascii="Arial" w:cs="Arial" w:eastAsia="Arial" w:hAnsi="Arial"/>
                <w:b/>
                <w:bCs/>
                <w:color w:val="2E7D32"/>
                <w:sz w:val="22"/>
                <w:szCs w:val="22"/>
              </w:rPr>
              <w:t xml:space="preserve">Model Answer</w:t>
            </w:r>
          </w:p>
          <w:p>
            <w:pPr>
              <w:spacing w:after="60" w:line="276"/>
            </w:pPr>
            <w:r>
              <w:rPr>
                <w:rFonts w:ascii="Arial" w:cs="Arial" w:eastAsia="Arial" w:hAnsi="Arial"/>
                <w:b/>
                <w:bCs/>
                <w:sz w:val="20"/>
                <w:szCs w:val="20"/>
              </w:rPr>
              <w:t xml:space="preserve">(a) Securing the key: </w:t>
            </w:r>
            <w:r>
              <w:rPr>
                <w:rFonts w:ascii="Arial" w:cs="Arial" w:eastAsia="Arial" w:hAnsi="Arial"/>
                <w:sz w:val="20"/>
                <w:szCs w:val="20"/>
              </w:rPr>
              <w:t xml:space="preserve">Priority 1. EUIBA-Alpha should immediately notify EUIBA-Beta to: verify the integrity of its re-identification key system, implement enhanced monitoring, and confirm no unauthorised access.</w:t>
            </w:r>
          </w:p>
          <w:p>
            <w:pPr>
              <w:spacing w:after="60" w:line="276"/>
            </w:pPr>
            <w:r>
              <w:rPr>
                <w:rFonts w:ascii="Arial" w:cs="Arial" w:eastAsia="Arial" w:hAnsi="Arial"/>
                <w:b/>
                <w:bCs/>
                <w:sz w:val="20"/>
                <w:szCs w:val="20"/>
              </w:rPr>
              <w:t xml:space="preserve">(b) Nature of compromised data: </w:t>
            </w:r>
            <w:r>
              <w:rPr>
                <w:rFonts w:ascii="Arial" w:cs="Arial" w:eastAsia="Arial" w:hAnsi="Arial"/>
                <w:sz w:val="20"/>
                <w:szCs w:val="20"/>
              </w:rPr>
              <w:t xml:space="preserve">Yes. EUIBA-Beta needs to understand what was compromised to assess the risk of re-identification attempts against its key system.</w:t>
            </w:r>
          </w:p>
          <w:p>
            <w:pPr>
              <w:spacing w:after="60" w:line="276"/>
            </w:pPr>
            <w:r>
              <w:rPr>
                <w:rFonts w:ascii="Arial" w:cs="Arial" w:eastAsia="Arial" w:hAnsi="Arial"/>
                <w:b/>
                <w:bCs/>
                <w:sz w:val="20"/>
                <w:szCs w:val="20"/>
              </w:rPr>
              <w:t xml:space="preserve">(c) Who initiates: </w:t>
            </w:r>
            <w:r>
              <w:rPr>
                <w:rFonts w:ascii="Arial" w:cs="Arial" w:eastAsia="Arial" w:hAnsi="Arial"/>
                <w:sz w:val="20"/>
                <w:szCs w:val="20"/>
              </w:rPr>
              <w:t xml:space="preserve">EUIBA-Alpha (as controller) initiates. Communication should go through the DPO or senior management channel established in the inter-institutional agreement. This should be done urgently via secure channel.</w:t>
            </w:r>
          </w:p>
          <w:p>
            <w:pPr>
              <w:spacing w:after="60" w:line="276"/>
            </w:pPr>
            <w:r>
              <w:rPr>
                <w:rFonts w:ascii="Arial" w:cs="Arial" w:eastAsia="Arial" w:hAnsi="Arial"/>
                <w:b/>
                <w:bCs/>
                <w:sz w:val="20"/>
                <w:szCs w:val="20"/>
              </w:rPr>
              <w:t xml:space="preserve">(d) EUIBA-Beta’s actions: </w:t>
            </w:r>
            <w:r>
              <w:rPr>
                <w:rFonts w:ascii="Arial" w:cs="Arial" w:eastAsia="Arial" w:hAnsi="Arial"/>
                <w:sz w:val="20"/>
                <w:szCs w:val="20"/>
              </w:rPr>
              <w:t xml:space="preserve">Enhanced monitoring, access audits, consider temporarily restricting access to the re-identification system as a precaution.</w:t>
            </w:r>
          </w:p>
        </w:tc>
      </w:tr>
    </w:tbl>
    <w:p>
      <w:pPr>
        <w:spacing w:after="60"/>
      </w:pPr>
    </w:p>
    <w:p>
      <w:pPr>
        <w:pStyle w:val="Heading3"/>
        <w:spacing w:before="200" w:after="120"/>
      </w:pPr>
      <w:r>
        <w:rPr>
          <w:rFonts w:ascii="Arial" w:cs="Arial" w:eastAsia="Arial" w:hAnsi="Arial"/>
          <w:b/>
          <w:bCs/>
          <w:color w:val="2E75B6"/>
          <w:sz w:val="24"/>
          <w:szCs w:val="24"/>
        </w:rPr>
        <w:t xml:space="preserve">Question 4: 72-Hour Awareness Trigger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
              <w:bottom w:val="single" w:color="2E7D32" w:sz="1"/>
              <w:right w:val="single" w:color="2E7D32" w:sz="1"/>
            </w:tcBorders>
            <w:shd w:fill="F0FAF0" w:val="clear"/>
            <w:tcMar>
              <w:top w:type="dxa" w:w="120"/>
              <w:left w:type="dxa" w:w="160"/>
              <w:bottom w:type="dxa" w:w="120"/>
              <w:right w:type="dxa" w:w="160"/>
            </w:tcMar>
          </w:tcPr>
          <w:p>
            <w:pPr>
              <w:spacing w:after="80"/>
            </w:pPr>
            <w:r>
              <w:rPr>
                <w:rFonts w:ascii="Arial" w:cs="Arial" w:eastAsia="Arial" w:hAnsi="Arial"/>
                <w:b/>
                <w:bCs/>
                <w:color w:val="2E7D32"/>
                <w:sz w:val="22"/>
                <w:szCs w:val="22"/>
              </w:rPr>
              <w:t xml:space="preserve">Model Answer</w:t>
            </w:r>
          </w:p>
          <w:p>
            <w:pPr>
              <w:spacing w:after="60" w:line="276"/>
            </w:pPr>
            <w:r>
              <w:rPr>
                <w:rFonts w:ascii="Arial" w:cs="Arial" w:eastAsia="Arial" w:hAnsi="Arial"/>
                <w:b/>
                <w:bCs/>
                <w:sz w:val="20"/>
                <w:szCs w:val="20"/>
              </w:rPr>
              <w:t xml:space="preserve">Most defensible: 15:30 UTC </w:t>
            </w:r>
            <w:r>
              <w:rPr>
                <w:rFonts w:ascii="Arial" w:cs="Arial" w:eastAsia="Arial" w:hAnsi="Arial"/>
                <w:sz w:val="20"/>
                <w:szCs w:val="20"/>
              </w:rPr>
              <w:t xml:space="preserve">(CloudVault’s direct notification).</w:t>
            </w:r>
          </w:p>
          <w:p>
            <w:pPr>
              <w:spacing w:after="60" w:line="276"/>
            </w:pPr>
            <w:r>
              <w:rPr>
                <w:rFonts w:ascii="Arial" w:cs="Arial" w:eastAsia="Arial" w:hAnsi="Arial"/>
                <w:sz w:val="20"/>
                <w:szCs w:val="20"/>
              </w:rPr>
              <w:t xml:space="preserve"/>
            </w:r>
          </w:p>
          <w:p>
            <w:pPr>
              <w:spacing w:after="60" w:line="276"/>
            </w:pPr>
            <w:r>
              <w:rPr>
                <w:rFonts w:ascii="Arial" w:cs="Arial" w:eastAsia="Arial" w:hAnsi="Arial"/>
                <w:sz w:val="20"/>
                <w:szCs w:val="20"/>
              </w:rPr>
              <w:t xml:space="preserve">At 14:00, the LCO knows of an incident at a processor but not that EUIBA-Alpha’s data is affected. At 15:30, the processor directly notifies the controller that its infrastructure has been breached, invoking both the EUDPR and the DPA. At this point, the controller has a “reasonable degree of certainty” that personal data may be compromised.</w:t>
            </w:r>
          </w:p>
          <w:p>
            <w:pPr>
              <w:spacing w:after="60" w:line="276"/>
            </w:pPr>
            <w:r>
              <w:rPr>
                <w:rFonts w:ascii="Arial" w:cs="Arial" w:eastAsia="Arial" w:hAnsi="Arial"/>
                <w:sz w:val="20"/>
                <w:szCs w:val="20"/>
              </w:rPr>
              <w:t xml:space="preserve"/>
            </w:r>
          </w:p>
          <w:p>
            <w:pPr>
              <w:spacing w:after="60" w:line="276"/>
            </w:pPr>
            <w:r>
              <w:rPr>
                <w:rFonts w:ascii="Arial" w:cs="Arial" w:eastAsia="Arial" w:hAnsi="Arial"/>
                <w:i/>
                <w:iCs/>
                <w:sz w:val="20"/>
                <w:szCs w:val="20"/>
              </w:rPr>
              <w:t xml:space="preserve">Acceptable alternative: 19:00 UTC, </w:t>
            </w:r>
            <w:r>
              <w:rPr>
                <w:rFonts w:ascii="Arial" w:cs="Arial" w:eastAsia="Arial" w:hAnsi="Arial"/>
                <w:sz w:val="20"/>
                <w:szCs w:val="20"/>
              </w:rPr>
              <w:t xml:space="preserve">if the team argues that 15:30 provided knowledge of a general processor breach, but confirmation of EUIBA-Alpha’s specific data involvement only came at 19:00. This is defensible but more conservative.</w:t>
            </w:r>
          </w:p>
          <w:p>
            <w:pPr>
              <w:spacing w:after="60" w:line="276"/>
            </w:pPr>
            <w:r>
              <w:rPr>
                <w:rFonts w:ascii="Arial" w:cs="Arial" w:eastAsia="Arial" w:hAnsi="Arial"/>
                <w:sz w:val="20"/>
                <w:szCs w:val="20"/>
              </w:rPr>
              <w:t xml:space="preserve"/>
            </w:r>
          </w:p>
          <w:p>
            <w:pPr>
              <w:spacing w:after="60" w:line="276"/>
            </w:pPr>
            <w:r>
              <w:rPr>
                <w:rFonts w:ascii="Arial" w:cs="Arial" w:eastAsia="Arial" w:hAnsi="Arial"/>
                <w:b/>
                <w:bCs/>
                <w:sz w:val="20"/>
                <w:szCs w:val="20"/>
              </w:rPr>
              <w:t xml:space="preserve">Not acceptable: 14:00 UTC </w:t>
            </w:r>
            <w:r>
              <w:rPr>
                <w:rFonts w:ascii="Arial" w:cs="Arial" w:eastAsia="Arial" w:hAnsi="Arial"/>
                <w:sz w:val="20"/>
                <w:szCs w:val="20"/>
              </w:rPr>
              <w:t xml:space="preserve">as the sole trigger. At this point the alert is about CloudVault generally, not about EUIBA-Alpha’s data specifically. However, 14:00 should trigger the investigation that leads to awareness.</w:t>
            </w:r>
          </w:p>
        </w:tc>
      </w:tr>
    </w:tbl>
    <w:p>
      <w:r>
        <w:br w:type="page"/>
      </w:r>
    </w:p>
    <w:p>
      <w:pPr>
        <w:pStyle w:val="Heading2"/>
        <w:spacing w:before="280" w:after="160"/>
      </w:pPr>
      <w:r>
        <w:rPr>
          <w:rFonts w:ascii="Arial" w:cs="Arial" w:eastAsia="Arial" w:hAnsi="Arial"/>
          <w:b/>
          <w:bCs/>
          <w:color w:val="2E75B6"/>
          <w:sz w:val="26"/>
          <w:szCs w:val="26"/>
        </w:rPr>
        <w:t xml:space="preserve">E.2 Model Answers — Block 2: Breach Classification</w:t>
      </w:r>
    </w:p>
    <w:p>
      <w:pPr>
        <w:pStyle w:val="Heading3"/>
        <w:spacing w:before="200" w:after="120"/>
      </w:pPr>
      <w:r>
        <w:rPr>
          <w:rFonts w:ascii="Arial" w:cs="Arial" w:eastAsia="Arial" w:hAnsi="Arial"/>
          <w:b/>
          <w:bCs/>
          <w:color w:val="2E75B6"/>
          <w:sz w:val="24"/>
          <w:szCs w:val="24"/>
        </w:rPr>
        <w:t xml:space="preserve">Question 5: Is This a Personal Data Breach?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
              <w:bottom w:val="single" w:color="2E7D32" w:sz="1"/>
              <w:right w:val="single" w:color="2E7D32" w:sz="1"/>
            </w:tcBorders>
            <w:shd w:fill="F0FAF0" w:val="clear"/>
            <w:tcMar>
              <w:top w:type="dxa" w:w="120"/>
              <w:left w:type="dxa" w:w="160"/>
              <w:bottom w:type="dxa" w:w="120"/>
              <w:right w:type="dxa" w:w="160"/>
            </w:tcMar>
          </w:tcPr>
          <w:p>
            <w:pPr>
              <w:spacing w:after="80"/>
            </w:pPr>
            <w:r>
              <w:rPr>
                <w:rFonts w:ascii="Arial" w:cs="Arial" w:eastAsia="Arial" w:hAnsi="Arial"/>
                <w:b/>
                <w:bCs/>
                <w:color w:val="2E7D32"/>
                <w:sz w:val="22"/>
                <w:szCs w:val="22"/>
              </w:rPr>
              <w:t xml:space="preserve">Model Answer</w:t>
            </w:r>
          </w:p>
          <w:p>
            <w:pPr>
              <w:spacing w:after="60" w:line="276"/>
            </w:pPr>
            <w:r>
              <w:rPr>
                <w:rFonts w:ascii="Arial" w:cs="Arial" w:eastAsia="Arial" w:hAnsi="Arial"/>
                <w:b/>
                <w:bCs/>
                <w:sz w:val="20"/>
                <w:szCs w:val="20"/>
              </w:rPr>
              <w:t xml:space="preserve">Yes, this is a personal data breach.</w:t>
            </w:r>
          </w:p>
          <w:p>
            <w:pPr>
              <w:spacing w:after="60" w:line="276"/>
            </w:pPr>
            <w:r>
              <w:rPr>
                <w:rFonts w:ascii="Arial" w:cs="Arial" w:eastAsia="Arial" w:hAnsi="Arial"/>
                <w:sz w:val="20"/>
                <w:szCs w:val="20"/>
              </w:rPr>
              <w:t xml:space="preserve"/>
            </w:r>
          </w:p>
          <w:p>
            <w:pPr>
              <w:spacing w:after="60" w:line="276"/>
            </w:pPr>
            <w:r>
              <w:rPr>
                <w:rFonts w:ascii="Arial" w:cs="Arial" w:eastAsia="Arial" w:hAnsi="Arial"/>
                <w:b/>
                <w:bCs/>
                <w:sz w:val="20"/>
                <w:szCs w:val="20"/>
              </w:rPr>
              <w:t xml:space="preserve">Confidentiality breach: YES. </w:t>
            </w:r>
            <w:r>
              <w:rPr>
                <w:rFonts w:ascii="Arial" w:cs="Arial" w:eastAsia="Arial" w:hAnsi="Arial"/>
                <w:sz w:val="20"/>
                <w:szCs w:val="20"/>
              </w:rPr>
              <w:t xml:space="preserve">Unauthorised access to and exfiltration of personal data by an external threat actor. Data was accessed and copied without authorisation.</w:t>
            </w:r>
          </w:p>
          <w:p>
            <w:pPr>
              <w:spacing w:after="60" w:line="276"/>
            </w:pPr>
            <w:r>
              <w:rPr>
                <w:rFonts w:ascii="Arial" w:cs="Arial" w:eastAsia="Arial" w:hAnsi="Arial"/>
                <w:b/>
                <w:bCs/>
                <w:sz w:val="20"/>
                <w:szCs w:val="20"/>
              </w:rPr>
              <w:t xml:space="preserve">Integrity breach: NO. </w:t>
            </w:r>
            <w:r>
              <w:rPr>
                <w:rFonts w:ascii="Arial" w:cs="Arial" w:eastAsia="Arial" w:hAnsi="Arial"/>
                <w:sz w:val="20"/>
                <w:szCs w:val="20"/>
              </w:rPr>
              <w:t xml:space="preserve">No evidence that data was altered. However, this should be confirmed through forensic analysis.</w:t>
            </w:r>
          </w:p>
          <w:p>
            <w:pPr>
              <w:spacing w:after="60" w:line="276"/>
            </w:pPr>
            <w:r>
              <w:rPr>
                <w:rFonts w:ascii="Arial" w:cs="Arial" w:eastAsia="Arial" w:hAnsi="Arial"/>
                <w:b/>
                <w:bCs/>
                <w:sz w:val="20"/>
                <w:szCs w:val="20"/>
              </w:rPr>
              <w:t xml:space="preserve">Availability breach: NO. </w:t>
            </w:r>
            <w:r>
              <w:rPr>
                <w:rFonts w:ascii="Arial" w:cs="Arial" w:eastAsia="Arial" w:hAnsi="Arial"/>
                <w:sz w:val="20"/>
                <w:szCs w:val="20"/>
              </w:rPr>
              <w:t xml:space="preserve">EUIBA-Alpha retains access to its data through CloudVault (the breach does not destroy or deny access). However, trust in the processor’s environment is compromised, which may require data migration.</w:t>
            </w:r>
          </w:p>
        </w:tc>
      </w:tr>
    </w:tbl>
    <w:p>
      <w:pPr>
        <w:spacing w:after="60"/>
      </w:pPr>
    </w:p>
    <w:p>
      <w:pPr>
        <w:pStyle w:val="Heading3"/>
        <w:spacing w:before="200" w:after="120"/>
      </w:pPr>
      <w:r>
        <w:rPr>
          <w:rFonts w:ascii="Arial" w:cs="Arial" w:eastAsia="Arial" w:hAnsi="Arial"/>
          <w:b/>
          <w:bCs/>
          <w:color w:val="2E75B6"/>
          <w:sz w:val="24"/>
          <w:szCs w:val="24"/>
        </w:rPr>
        <w:t xml:space="preserve">Question 6: Effect of Pseudonymisation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
              <w:bottom w:val="single" w:color="2E7D32" w:sz="1"/>
              <w:right w:val="single" w:color="2E7D32" w:sz="1"/>
            </w:tcBorders>
            <w:shd w:fill="F0FAF0" w:val="clear"/>
            <w:tcMar>
              <w:top w:type="dxa" w:w="120"/>
              <w:left w:type="dxa" w:w="160"/>
              <w:bottom w:type="dxa" w:w="120"/>
              <w:right w:type="dxa" w:w="160"/>
            </w:tcMar>
          </w:tcPr>
          <w:p>
            <w:pPr>
              <w:spacing w:after="80"/>
            </w:pPr>
            <w:r>
              <w:rPr>
                <w:rFonts w:ascii="Arial" w:cs="Arial" w:eastAsia="Arial" w:hAnsi="Arial"/>
                <w:b/>
                <w:bCs/>
                <w:color w:val="2E7D32"/>
                <w:sz w:val="22"/>
                <w:szCs w:val="22"/>
              </w:rPr>
              <w:t xml:space="preserve">Model Answer</w:t>
            </w:r>
          </w:p>
          <w:p>
            <w:pPr>
              <w:spacing w:after="60" w:line="276"/>
            </w:pPr>
            <w:r>
              <w:rPr>
                <w:rFonts w:ascii="Arial" w:cs="Arial" w:eastAsia="Arial" w:hAnsi="Arial"/>
                <w:b/>
                <w:bCs/>
                <w:sz w:val="20"/>
                <w:szCs w:val="20"/>
              </w:rPr>
              <w:t xml:space="preserve">Pseudonymised data IS still personal data </w:t>
            </w:r>
            <w:r>
              <w:rPr>
                <w:rFonts w:ascii="Arial" w:cs="Arial" w:eastAsia="Arial" w:hAnsi="Arial"/>
                <w:sz w:val="20"/>
                <w:szCs w:val="20"/>
              </w:rPr>
              <w:t xml:space="preserve">under the EUDPR (Recital 17 GDPR). Pseudonymisation is a security measure, not anonymisation.</w:t>
            </w:r>
          </w:p>
          <w:p>
            <w:pPr>
              <w:spacing w:after="60" w:line="276"/>
            </w:pPr>
            <w:r>
              <w:rPr>
                <w:rFonts w:ascii="Arial" w:cs="Arial" w:eastAsia="Arial" w:hAnsi="Arial"/>
                <w:sz w:val="20"/>
                <w:szCs w:val="20"/>
              </w:rPr>
              <w:t xml:space="preserve"/>
            </w:r>
          </w:p>
          <w:p>
            <w:pPr>
              <w:spacing w:after="60" w:line="276"/>
            </w:pPr>
            <w:r>
              <w:rPr>
                <w:rFonts w:ascii="Arial" w:cs="Arial" w:eastAsia="Arial" w:hAnsi="Arial"/>
                <w:sz w:val="20"/>
                <w:szCs w:val="20"/>
              </w:rPr>
              <w:t xml:space="preserve">Key points:</w:t>
            </w:r>
          </w:p>
          <w:p>
            <w:pPr>
              <w:spacing w:after="60" w:line="276"/>
            </w:pPr>
            <w:r>
              <w:rPr>
                <w:rFonts w:ascii="Arial" w:cs="Arial" w:eastAsia="Arial" w:hAnsi="Arial"/>
                <w:b/>
                <w:bCs/>
                <w:sz w:val="20"/>
                <w:szCs w:val="20"/>
              </w:rPr>
              <w:t xml:space="preserve">• </w:t>
            </w:r>
            <w:r>
              <w:rPr>
                <w:rFonts w:ascii="Arial" w:cs="Arial" w:eastAsia="Arial" w:hAnsi="Arial"/>
                <w:sz w:val="20"/>
                <w:szCs w:val="20"/>
              </w:rPr>
              <w:t xml:space="preserve">The re-identification key exists (held by EUIBA-Beta) and could theoretically be obtained.</w:t>
            </w:r>
          </w:p>
          <w:p>
            <w:pPr>
              <w:spacing w:after="60" w:line="276"/>
            </w:pPr>
            <w:r>
              <w:rPr>
                <w:rFonts w:ascii="Arial" w:cs="Arial" w:eastAsia="Arial" w:hAnsi="Arial"/>
                <w:b/>
                <w:bCs/>
                <w:sz w:val="20"/>
                <w:szCs w:val="20"/>
              </w:rPr>
              <w:t xml:space="preserve">• </w:t>
            </w:r>
            <w:r>
              <w:rPr>
                <w:rFonts w:ascii="Arial" w:cs="Arial" w:eastAsia="Arial" w:hAnsi="Arial"/>
                <w:sz w:val="20"/>
                <w:szCs w:val="20"/>
              </w:rPr>
              <w:t xml:space="preserve">Even without the key, quasi-identifiers (age + gender + country) provide a pathway to re-identification, especially for smaller Member States.</w:t>
            </w:r>
          </w:p>
          <w:p>
            <w:pPr>
              <w:spacing w:after="60" w:line="276"/>
            </w:pPr>
            <w:r>
              <w:rPr>
                <w:rFonts w:ascii="Arial" w:cs="Arial" w:eastAsia="Arial" w:hAnsi="Arial"/>
                <w:b/>
                <w:bCs/>
                <w:sz w:val="20"/>
                <w:szCs w:val="20"/>
              </w:rPr>
              <w:t xml:space="preserve">• </w:t>
            </w:r>
            <w:r>
              <w:rPr>
                <w:rFonts w:ascii="Arial" w:cs="Arial" w:eastAsia="Arial" w:hAnsi="Arial"/>
                <w:sz w:val="20"/>
                <w:szCs w:val="20"/>
              </w:rPr>
              <w:t xml:space="preserve">The threat actor is a suspected state-sponsored group with advanced capabilities — they may have access to auxiliary datasets for cross-referencing.</w:t>
            </w:r>
          </w:p>
          <w:p>
            <w:pPr>
              <w:spacing w:after="60" w:line="276"/>
            </w:pPr>
            <w:r>
              <w:rPr>
                <w:rFonts w:ascii="Arial" w:cs="Arial" w:eastAsia="Arial" w:hAnsi="Arial"/>
                <w:sz w:val="20"/>
                <w:szCs w:val="20"/>
              </w:rPr>
              <w:t xml:space="preserve"/>
            </w:r>
          </w:p>
          <w:p>
            <w:pPr>
              <w:spacing w:after="60" w:line="276"/>
            </w:pPr>
            <w:r>
              <w:rPr>
                <w:rFonts w:ascii="Arial" w:cs="Arial" w:eastAsia="Arial" w:hAnsi="Arial"/>
                <w:sz w:val="20"/>
                <w:szCs w:val="20"/>
              </w:rPr>
              <w:t xml:space="preserve">Pseudonymisation is a mitigating factor in the risk assessment, but it does not change the classification of the data as personal data or the incident as a personal data breach.</w:t>
            </w:r>
          </w:p>
        </w:tc>
      </w:tr>
    </w:tbl>
    <w:p>
      <w:pPr>
        <w:spacing w:after="60"/>
      </w:pPr>
    </w:p>
    <w:p>
      <w:pPr>
        <w:pStyle w:val="Heading3"/>
        <w:spacing w:before="200" w:after="120"/>
      </w:pPr>
      <w:r>
        <w:rPr>
          <w:rFonts w:ascii="Arial" w:cs="Arial" w:eastAsia="Arial" w:hAnsi="Arial"/>
          <w:b/>
          <w:bCs/>
          <w:color w:val="2E75B6"/>
          <w:sz w:val="24"/>
          <w:szCs w:val="24"/>
        </w:rPr>
        <w:t xml:space="preserve">Question 7: Health Status Indicator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
              <w:bottom w:val="single" w:color="2E7D32" w:sz="1"/>
              <w:right w:val="single" w:color="2E7D32" w:sz="1"/>
            </w:tcBorders>
            <w:shd w:fill="F0FAF0" w:val="clear"/>
            <w:tcMar>
              <w:top w:type="dxa" w:w="120"/>
              <w:left w:type="dxa" w:w="160"/>
              <w:bottom w:type="dxa" w:w="120"/>
              <w:right w:type="dxa" w:w="160"/>
            </w:tcMar>
          </w:tcPr>
          <w:p>
            <w:pPr>
              <w:spacing w:after="80"/>
            </w:pPr>
            <w:r>
              <w:rPr>
                <w:rFonts w:ascii="Arial" w:cs="Arial" w:eastAsia="Arial" w:hAnsi="Arial"/>
                <w:b/>
                <w:bCs/>
                <w:color w:val="2E7D32"/>
                <w:sz w:val="22"/>
                <w:szCs w:val="22"/>
              </w:rPr>
              <w:t xml:space="preserve">Model Answer</w:t>
            </w:r>
          </w:p>
          <w:p>
            <w:pPr>
              <w:spacing w:after="60" w:line="276"/>
            </w:pPr>
            <w:r>
              <w:rPr>
                <w:rFonts w:ascii="Arial" w:cs="Arial" w:eastAsia="Arial" w:hAnsi="Arial"/>
                <w:b/>
                <w:bCs/>
                <w:sz w:val="20"/>
                <w:szCs w:val="20"/>
              </w:rPr>
              <w:t xml:space="preserve">Yes, the health status indicator constitutes “data concerning health” </w:t>
            </w:r>
            <w:r>
              <w:rPr>
                <w:rFonts w:ascii="Arial" w:cs="Arial" w:eastAsia="Arial" w:hAnsi="Arial"/>
                <w:sz w:val="20"/>
                <w:szCs w:val="20"/>
              </w:rPr>
              <w:t xml:space="preserve">within the meaning of Article 10 EUDPR and Recital 35 GDPR.</w:t>
            </w:r>
          </w:p>
          <w:p>
            <w:pPr>
              <w:spacing w:after="60" w:line="276"/>
            </w:pPr>
            <w:r>
              <w:rPr>
                <w:rFonts w:ascii="Arial" w:cs="Arial" w:eastAsia="Arial" w:hAnsi="Arial"/>
                <w:sz w:val="20"/>
                <w:szCs w:val="20"/>
              </w:rPr>
              <w:t xml:space="preserve"/>
            </w:r>
          </w:p>
          <w:p>
            <w:pPr>
              <w:spacing w:after="60" w:line="276"/>
            </w:pPr>
            <w:r>
              <w:rPr>
                <w:rFonts w:ascii="Arial" w:cs="Arial" w:eastAsia="Arial" w:hAnsi="Arial"/>
                <w:sz w:val="20"/>
                <w:szCs w:val="20"/>
              </w:rPr>
              <w:t xml:space="preserve">The EUDPR/GDPR adopts a BROAD interpretation: “data concerning health” includes any data from which information about an individual’s health status can be inferred. A “Good/Fair/Poor” indicator, even if derived from a general questionnaire, reveals information about the person’s health.</w:t>
            </w:r>
          </w:p>
          <w:p>
            <w:pPr>
              <w:spacing w:after="60" w:line="276"/>
            </w:pPr>
            <w:r>
              <w:rPr>
                <w:rFonts w:ascii="Arial" w:cs="Arial" w:eastAsia="Arial" w:hAnsi="Arial"/>
                <w:sz w:val="20"/>
                <w:szCs w:val="20"/>
              </w:rPr>
              <w:t xml:space="preserve"/>
            </w:r>
          </w:p>
          <w:p>
            <w:pPr>
              <w:spacing w:after="60" w:line="276"/>
            </w:pPr>
            <w:r>
              <w:rPr>
                <w:rFonts w:ascii="Arial" w:cs="Arial" w:eastAsia="Arial" w:hAnsi="Arial"/>
                <w:i/>
                <w:iCs/>
                <w:sz w:val="20"/>
                <w:szCs w:val="20"/>
              </w:rPr>
              <w:t xml:space="preserve">Anticipate debate: </w:t>
            </w:r>
            <w:r>
              <w:rPr>
                <w:rFonts w:ascii="Arial" w:cs="Arial" w:eastAsia="Arial" w:hAnsi="Arial"/>
                <w:sz w:val="20"/>
                <w:szCs w:val="20"/>
              </w:rPr>
              <w:t xml:space="preserve">Some participants will argue that such a generalised indicator, when pseudonymised, reveals almost nothing. Acknowledge this as a fair practical point, but steer back to the legal position: the definition is intentionally broad to protect data subjects.</w:t>
            </w:r>
          </w:p>
        </w:tc>
      </w:tr>
    </w:tbl>
    <w:p>
      <w:pPr>
        <w:spacing w:after="60"/>
      </w:pPr>
    </w:p>
    <w:p>
      <w:pPr>
        <w:pStyle w:val="Heading3"/>
        <w:spacing w:before="200" w:after="120"/>
      </w:pPr>
      <w:r>
        <w:rPr>
          <w:rFonts w:ascii="Arial" w:cs="Arial" w:eastAsia="Arial" w:hAnsi="Arial"/>
          <w:b/>
          <w:bCs/>
          <w:color w:val="2E75B6"/>
          <w:sz w:val="24"/>
          <w:szCs w:val="24"/>
        </w:rPr>
        <w:t xml:space="preserve">Question 8: Data Retention Oversight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
              <w:bottom w:val="single" w:color="2E7D32" w:sz="1"/>
              <w:right w:val="single" w:color="2E7D32" w:sz="1"/>
            </w:tcBorders>
            <w:shd w:fill="F0FAF0" w:val="clear"/>
            <w:tcMar>
              <w:top w:type="dxa" w:w="120"/>
              <w:left w:type="dxa" w:w="160"/>
              <w:bottom w:type="dxa" w:w="120"/>
              <w:right w:type="dxa" w:w="160"/>
            </w:tcMar>
          </w:tcPr>
          <w:p>
            <w:pPr>
              <w:spacing w:after="80"/>
            </w:pPr>
            <w:r>
              <w:rPr>
                <w:rFonts w:ascii="Arial" w:cs="Arial" w:eastAsia="Arial" w:hAnsi="Arial"/>
                <w:b/>
                <w:bCs/>
                <w:color w:val="2E7D32"/>
                <w:sz w:val="22"/>
                <w:szCs w:val="22"/>
              </w:rPr>
              <w:t xml:space="preserve">Model Answer</w:t>
            </w:r>
          </w:p>
          <w:p>
            <w:pPr>
              <w:spacing w:after="60" w:line="276"/>
            </w:pPr>
            <w:r>
              <w:rPr>
                <w:rFonts w:ascii="Arial" w:cs="Arial" w:eastAsia="Arial" w:hAnsi="Arial"/>
                <w:b/>
                <w:bCs/>
                <w:sz w:val="20"/>
                <w:szCs w:val="20"/>
              </w:rPr>
              <w:t xml:space="preserve">Yes, this is a separate data protection violation.</w:t>
            </w:r>
          </w:p>
          <w:p>
            <w:pPr>
              <w:spacing w:after="60" w:line="276"/>
            </w:pPr>
            <w:r>
              <w:rPr>
                <w:rFonts w:ascii="Arial" w:cs="Arial" w:eastAsia="Arial" w:hAnsi="Arial"/>
                <w:sz w:val="20"/>
                <w:szCs w:val="20"/>
              </w:rPr>
              <w:t xml:space="preserve"/>
            </w:r>
          </w:p>
          <w:p>
            <w:pPr>
              <w:spacing w:after="60" w:line="276"/>
            </w:pPr>
            <w:r>
              <w:rPr>
                <w:rFonts w:ascii="Arial" w:cs="Arial" w:eastAsia="Arial" w:hAnsi="Arial"/>
                <w:b/>
                <w:bCs/>
                <w:sz w:val="20"/>
                <w:szCs w:val="20"/>
              </w:rPr>
              <w:t xml:space="preserve">• Storage limitation violation: </w:t>
            </w:r>
            <w:r>
              <w:rPr>
                <w:rFonts w:ascii="Arial" w:cs="Arial" w:eastAsia="Arial" w:hAnsi="Arial"/>
                <w:sz w:val="20"/>
                <w:szCs w:val="20"/>
              </w:rPr>
              <w:t xml:space="preserve">Article 4(1)(e) EUDPR requires data to be kept no longer than necessary. The 5-year retention period was breached by 2 years.</w:t>
            </w:r>
          </w:p>
          <w:p>
            <w:pPr>
              <w:spacing w:after="60" w:line="276"/>
            </w:pPr>
            <w:r>
              <w:rPr>
                <w:rFonts w:ascii="Arial" w:cs="Arial" w:eastAsia="Arial" w:hAnsi="Arial"/>
                <w:b/>
                <w:bCs/>
                <w:sz w:val="20"/>
                <w:szCs w:val="20"/>
              </w:rPr>
              <w:t xml:space="preserve">• Accountability failure: </w:t>
            </w:r>
            <w:r>
              <w:rPr>
                <w:rFonts w:ascii="Arial" w:cs="Arial" w:eastAsia="Arial" w:hAnsi="Arial"/>
                <w:sz w:val="20"/>
                <w:szCs w:val="20"/>
              </w:rPr>
              <w:t xml:space="preserve">The automated deletion script failure suggests inadequate data governance processes.</w:t>
            </w:r>
          </w:p>
          <w:p>
            <w:pPr>
              <w:spacing w:after="60" w:line="276"/>
            </w:pPr>
            <w:r>
              <w:rPr>
                <w:rFonts w:ascii="Arial" w:cs="Arial" w:eastAsia="Arial" w:hAnsi="Arial"/>
                <w:b/>
                <w:bCs/>
                <w:sz w:val="20"/>
                <w:szCs w:val="20"/>
              </w:rPr>
              <w:t xml:space="preserve">• Compounding effect: </w:t>
            </w:r>
            <w:r>
              <w:rPr>
                <w:rFonts w:ascii="Arial" w:cs="Arial" w:eastAsia="Arial" w:hAnsi="Arial"/>
                <w:sz w:val="20"/>
                <w:szCs w:val="20"/>
              </w:rPr>
              <w:t xml:space="preserve">More data was exposed than should have existed. This increases the severity of the breach and must be reported to the EDPS.</w:t>
            </w:r>
          </w:p>
          <w:p>
            <w:pPr>
              <w:spacing w:after="60" w:line="276"/>
            </w:pPr>
            <w:r>
              <w:rPr>
                <w:rFonts w:ascii="Arial" w:cs="Arial" w:eastAsia="Arial" w:hAnsi="Arial"/>
                <w:b/>
                <w:bCs/>
                <w:sz w:val="20"/>
                <w:szCs w:val="20"/>
              </w:rPr>
              <w:t xml:space="preserve">• Separate from the breach: </w:t>
            </w:r>
            <w:r>
              <w:rPr>
                <w:rFonts w:ascii="Arial" w:cs="Arial" w:eastAsia="Arial" w:hAnsi="Arial"/>
                <w:sz w:val="20"/>
                <w:szCs w:val="20"/>
              </w:rPr>
              <w:t xml:space="preserve">This violation pre-dates the CloudVault compromise. The breach exposed it, but it exists independently.</w:t>
            </w:r>
          </w:p>
        </w:tc>
      </w:tr>
    </w:tbl>
    <w:p>
      <w:pPr>
        <w:pStyle w:val="Heading2"/>
        <w:spacing w:before="280" w:after="160"/>
      </w:pPr>
      <w:r>
        <w:rPr>
          <w:rFonts w:ascii="Arial" w:cs="Arial" w:eastAsia="Arial" w:hAnsi="Arial"/>
          <w:b/>
          <w:bCs/>
          <w:color w:val="2E75B6"/>
          <w:sz w:val="26"/>
          <w:szCs w:val="26"/>
        </w:rPr>
        <w:t xml:space="preserve">E.3 Model Answers — Block 3: Risk Assessment</w:t>
      </w:r>
    </w:p>
    <w:p>
      <w:pPr>
        <w:pStyle w:val="Heading3"/>
        <w:spacing w:before="200" w:after="120"/>
      </w:pPr>
      <w:r>
        <w:rPr>
          <w:rFonts w:ascii="Arial" w:cs="Arial" w:eastAsia="Arial" w:hAnsi="Arial"/>
          <w:b/>
          <w:bCs/>
          <w:color w:val="2E75B6"/>
          <w:sz w:val="24"/>
          <w:szCs w:val="24"/>
        </w:rPr>
        <w:t xml:space="preserve">Question 9: Risk Verdict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
              <w:bottom w:val="single" w:color="2E7D32" w:sz="1"/>
              <w:right w:val="single" w:color="2E7D32" w:sz="1"/>
            </w:tcBorders>
            <w:shd w:fill="F0FAF0" w:val="clear"/>
            <w:tcMar>
              <w:top w:type="dxa" w:w="120"/>
              <w:left w:type="dxa" w:w="160"/>
              <w:bottom w:type="dxa" w:w="120"/>
              <w:right w:type="dxa" w:w="160"/>
            </w:tcMar>
          </w:tcPr>
          <w:p>
            <w:pPr>
              <w:spacing w:after="80"/>
            </w:pPr>
            <w:r>
              <w:rPr>
                <w:rFonts w:ascii="Arial" w:cs="Arial" w:eastAsia="Arial" w:hAnsi="Arial"/>
                <w:b/>
                <w:bCs/>
                <w:color w:val="2E7D32"/>
                <w:sz w:val="22"/>
                <w:szCs w:val="22"/>
              </w:rPr>
              <w:t xml:space="preserve">Model Answer: PRE-INJECT — Genuine Debate Between Risk and High Risk</w:t>
            </w:r>
          </w:p>
          <w:p>
            <w:pPr>
              <w:spacing w:after="60" w:line="276"/>
            </w:pPr>
            <w:r>
              <w:rPr>
                <w:rFonts w:ascii="Arial" w:cs="Arial" w:eastAsia="Arial" w:hAnsi="Arial"/>
                <w:sz w:val="20"/>
                <w:szCs w:val="20"/>
              </w:rPr>
              <w:t xml:space="preserve">Before the inject, this is a legitimate debate. Both positions are defensible:</w:t>
            </w:r>
          </w:p>
          <w:p>
            <w:pPr>
              <w:spacing w:after="60" w:line="276"/>
            </w:pPr>
            <w:r>
              <w:rPr>
                <w:rFonts w:ascii="Arial" w:cs="Arial" w:eastAsia="Arial" w:hAnsi="Arial"/>
                <w:sz w:val="20"/>
                <w:szCs w:val="20"/>
              </w:rPr>
              <w:t xml:space="preserve"/>
            </w:r>
          </w:p>
          <w:p>
            <w:pPr>
              <w:spacing w:after="60" w:line="276"/>
            </w:pPr>
            <w:r>
              <w:rPr>
                <w:rFonts w:ascii="Arial" w:cs="Arial" w:eastAsia="Arial" w:hAnsi="Arial"/>
                <w:b/>
                <w:bCs/>
                <w:sz w:val="20"/>
                <w:szCs w:val="20"/>
              </w:rPr>
              <w:t xml:space="preserve">Arguments for RISK (not High Risk): </w:t>
            </w:r>
            <w:r>
              <w:rPr>
                <w:rFonts w:ascii="Arial" w:cs="Arial" w:eastAsia="Arial" w:hAnsi="Arial"/>
                <w:sz w:val="20"/>
                <w:szCs w:val="20"/>
              </w:rPr>
              <w:t xml:space="preserve">Data is pseudonymised with the key on a separate, uncompromised system. The health indicator is generalised. Re-identification through quasi-identifiers alone is impractical at scale. No evidence the attacker can reverse the pseudonymisation.</w:t>
            </w:r>
          </w:p>
          <w:p>
            <w:pPr>
              <w:spacing w:after="60" w:line="276"/>
            </w:pPr>
            <w:r>
              <w:rPr>
                <w:rFonts w:ascii="Arial" w:cs="Arial" w:eastAsia="Arial" w:hAnsi="Arial"/>
                <w:sz w:val="20"/>
                <w:szCs w:val="20"/>
              </w:rPr>
              <w:t xml:space="preserve"/>
            </w:r>
          </w:p>
          <w:p>
            <w:pPr>
              <w:spacing w:after="60" w:line="276"/>
            </w:pPr>
            <w:r>
              <w:rPr>
                <w:rFonts w:ascii="Arial" w:cs="Arial" w:eastAsia="Arial" w:hAnsi="Arial"/>
                <w:b/>
                <w:bCs/>
                <w:sz w:val="20"/>
                <w:szCs w:val="20"/>
              </w:rPr>
              <w:t xml:space="preserve">Arguments for HIGH RISK: </w:t>
            </w:r>
            <w:r>
              <w:rPr>
                <w:rFonts w:ascii="Arial" w:cs="Arial" w:eastAsia="Arial" w:hAnsi="Arial"/>
                <w:sz w:val="20"/>
                <w:szCs w:val="20"/>
              </w:rPr>
              <w:t xml:space="preserve">The data includes health information (Art. 10). 750,000 records across 27 Member States. State-sponsored attacker with advanced capabilities and potential access to auxiliary datasets. Encryption at rest was missing. Data retention violation expanded the exposure.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
              <w:bottom w:val="single" w:color="2E7D32" w:sz="1"/>
              <w:right w:val="single" w:color="2E7D32" w:sz="1"/>
            </w:tcBorders>
            <w:shd w:fill="F0FAF0" w:val="clear"/>
            <w:tcMar>
              <w:top w:type="dxa" w:w="120"/>
              <w:left w:type="dxa" w:w="160"/>
              <w:bottom w:type="dxa" w:w="120"/>
              <w:right w:type="dxa" w:w="160"/>
            </w:tcMar>
          </w:tcPr>
          <w:p>
            <w:pPr>
              <w:spacing w:after="80"/>
            </w:pPr>
            <w:r>
              <w:rPr>
                <w:rFonts w:ascii="Arial" w:cs="Arial" w:eastAsia="Arial" w:hAnsi="Arial"/>
                <w:b/>
                <w:bCs/>
                <w:color w:val="2E7D32"/>
                <w:sz w:val="22"/>
                <w:szCs w:val="22"/>
              </w:rPr>
              <w:t xml:space="preserve">Model Answer: POST-INJECT — Strong Case for High Risk</w:t>
            </w:r>
          </w:p>
          <w:p>
            <w:pPr>
              <w:spacing w:after="60" w:line="276"/>
            </w:pPr>
            <w:r>
              <w:rPr>
                <w:rFonts w:ascii="Arial" w:cs="Arial" w:eastAsia="Arial" w:hAnsi="Arial"/>
                <w:b/>
                <w:bCs/>
                <w:sz w:val="20"/>
                <w:szCs w:val="20"/>
              </w:rPr>
              <w:t xml:space="preserve">After the inject, the balance shifts decisively towards HIGH RISK.</w:t>
            </w:r>
          </w:p>
          <w:p>
            <w:pPr>
              <w:spacing w:after="60" w:line="276"/>
            </w:pPr>
            <w:r>
              <w:rPr>
                <w:rFonts w:ascii="Arial" w:cs="Arial" w:eastAsia="Arial" w:hAnsi="Arial"/>
                <w:sz w:val="20"/>
                <w:szCs w:val="20"/>
              </w:rPr>
              <w:t xml:space="preserve"/>
            </w:r>
          </w:p>
          <w:p>
            <w:pPr>
              <w:spacing w:after="60" w:line="276"/>
            </w:pPr>
            <w:r>
              <w:rPr>
                <w:rFonts w:ascii="Arial" w:cs="Arial" w:eastAsia="Arial" w:hAnsi="Arial"/>
                <w:sz w:val="20"/>
                <w:szCs w:val="20"/>
              </w:rPr>
              <w:t xml:space="preserve">The discovery of 500 records with undocumented medical conditions, disability status, and political opinions changes the analysis fundamentally:</w:t>
            </w:r>
          </w:p>
          <w:p>
            <w:pPr>
              <w:spacing w:after="60" w:line="276"/>
            </w:pPr>
            <w:r>
              <w:rPr>
                <w:rFonts w:ascii="Arial" w:cs="Arial" w:eastAsia="Arial" w:hAnsi="Arial"/>
                <w:b/>
                <w:bCs/>
                <w:sz w:val="20"/>
                <w:szCs w:val="20"/>
              </w:rPr>
              <w:t xml:space="preserve">• </w:t>
            </w:r>
            <w:r>
              <w:rPr>
                <w:rFonts w:ascii="Arial" w:cs="Arial" w:eastAsia="Arial" w:hAnsi="Arial"/>
                <w:sz w:val="20"/>
                <w:szCs w:val="20"/>
              </w:rPr>
              <w:t xml:space="preserve">These are unambiguously Article 10 special categories.</w:t>
            </w:r>
          </w:p>
          <w:p>
            <w:pPr>
              <w:spacing w:after="60" w:line="276"/>
            </w:pPr>
            <w:r>
              <w:rPr>
                <w:rFonts w:ascii="Arial" w:cs="Arial" w:eastAsia="Arial" w:hAnsi="Arial"/>
                <w:b/>
                <w:bCs/>
                <w:sz w:val="20"/>
                <w:szCs w:val="20"/>
              </w:rPr>
              <w:t xml:space="preserve">• </w:t>
            </w:r>
            <w:r>
              <w:rPr>
                <w:rFonts w:ascii="Arial" w:cs="Arial" w:eastAsia="Arial" w:hAnsi="Arial"/>
                <w:sz w:val="20"/>
                <w:szCs w:val="20"/>
              </w:rPr>
              <w:t xml:space="preserve">They are not pseudonymised in the same way (free-text with specific conditions is far more re-identifiable than “Good/Fair/Poor”).</w:t>
            </w:r>
          </w:p>
          <w:p>
            <w:pPr>
              <w:spacing w:after="60" w:line="276"/>
            </w:pPr>
            <w:r>
              <w:rPr>
                <w:rFonts w:ascii="Arial" w:cs="Arial" w:eastAsia="Arial" w:hAnsi="Arial"/>
                <w:b/>
                <w:bCs/>
                <w:sz w:val="20"/>
                <w:szCs w:val="20"/>
              </w:rPr>
              <w:t xml:space="preserve">• </w:t>
            </w:r>
            <w:r>
              <w:rPr>
                <w:rFonts w:ascii="Arial" w:cs="Arial" w:eastAsia="Arial" w:hAnsi="Arial"/>
                <w:sz w:val="20"/>
                <w:szCs w:val="20"/>
              </w:rPr>
              <w:t xml:space="preserve">The undocumented nature means they were processed without a proper legal basis, RoPA entry, or DPIA coverage.</w:t>
            </w:r>
          </w:p>
          <w:p>
            <w:pPr>
              <w:spacing w:after="60" w:line="276"/>
            </w:pPr>
            <w:r>
              <w:rPr>
                <w:rFonts w:ascii="Arial" w:cs="Arial" w:eastAsia="Arial" w:hAnsi="Arial"/>
                <w:b/>
                <w:bCs/>
                <w:sz w:val="20"/>
                <w:szCs w:val="20"/>
              </w:rPr>
              <w:t xml:space="preserve">• </w:t>
            </w:r>
            <w:r>
              <w:rPr>
                <w:rFonts w:ascii="Arial" w:cs="Arial" w:eastAsia="Arial" w:hAnsi="Arial"/>
                <w:sz w:val="20"/>
                <w:szCs w:val="20"/>
              </w:rPr>
              <w:t xml:space="preserve">Combined with demographic quasi-identifiers, specific medical conditions could enable targeted re-identification of vulnerable individuals.</w:t>
            </w:r>
          </w:p>
          <w:p>
            <w:pPr>
              <w:spacing w:after="60" w:line="276"/>
            </w:pPr>
            <w:r>
              <w:rPr>
                <w:rFonts w:ascii="Arial" w:cs="Arial" w:eastAsia="Arial" w:hAnsi="Arial"/>
                <w:sz w:val="20"/>
                <w:szCs w:val="20"/>
              </w:rPr>
              <w:t xml:space="preserve"/>
            </w:r>
          </w:p>
          <w:p>
            <w:pPr>
              <w:spacing w:after="60" w:line="276"/>
            </w:pPr>
            <w:r>
              <w:rPr>
                <w:rFonts w:ascii="Arial" w:cs="Arial" w:eastAsia="Arial" w:hAnsi="Arial"/>
                <w:i/>
                <w:iCs/>
                <w:sz w:val="20"/>
                <w:szCs w:val="20"/>
              </w:rPr>
              <w:t xml:space="preserve">Teams that maintain “Risk” after the inject must explain how 500 records with specific medical conditions and political opinions, accessible to a state-sponsored actor, do not meet the “high risk to the rights and freedoms” threshold.</w:t>
            </w:r>
          </w:p>
        </w:tc>
      </w:tr>
    </w:tbl>
    <w:p>
      <w:pPr>
        <w:spacing w:after="60"/>
      </w:pPr>
    </w:p>
    <w:p>
      <w:pPr>
        <w:pStyle w:val="Heading3"/>
        <w:spacing w:before="200" w:after="120"/>
      </w:pPr>
      <w:r>
        <w:rPr>
          <w:rFonts w:ascii="Arial" w:cs="Arial" w:eastAsia="Arial" w:hAnsi="Arial"/>
          <w:b/>
          <w:bCs/>
          <w:color w:val="2E75B6"/>
          <w:sz w:val="24"/>
          <w:szCs w:val="24"/>
        </w:rPr>
        <w:t xml:space="preserve">Question 10: Factor-by-Factor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5826"/>
      </w:tblGrid>
      <w:t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Factor</w:t>
            </w:r>
          </w:p>
        </w:tc>
        <w:tc>
          <w:tcPr>
            <w:tcW w:type="dxa" w:w="1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58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Model Analysis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Nature and volume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Increases</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750,000 records is a large-scale breach. Health data + demographics + pseudonymised IDs constitute a rich dataset.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Sensitivity (health indicator)</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Increases</w:t>
            </w:r>
          </w:p>
        </w:tc>
        <w:tc>
          <w:tcPr>
            <w:tcW w:type="dxa" w:w="5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Health data = Art. 10 special category. Even a generalised indicator meets the broad EUDPR/GDPR definition.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Pseudonymisation effectiveness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Decreases (partially)</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Strong mitigating factor. Key is on a separate, uncompromised system. However, pseudonymisation is not anonymisation.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Ease of re-identification</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Increases (moderately)</w:t>
            </w:r>
          </w:p>
        </w:tc>
        <w:tc>
          <w:tcPr>
            <w:tcW w:type="dxa" w:w="5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Quasi-identifiers provide a theoretical pathway, especially for small Member States. State-sponsored actor may have auxiliary datasets.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Severity of consequences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Increases</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Health-based discrimination, social stigmatisation, targeting by state actor. Political opinions (post-inject) raise persecution risk.</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Nature of threat actor</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Increases (significantly)</w:t>
            </w:r>
          </w:p>
        </w:tc>
        <w:tc>
          <w:tcPr>
            <w:tcW w:type="dxa" w:w="5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State-sponsored group with advanced capabilities and likely geopolitical motivation. Far more concerning than opportunistic criminals.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retention oversight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Increases</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More data exposed than should exist. Pre-existing accountability failure compounds severity.</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Processor’s encryption failure</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Increases</w:t>
            </w:r>
          </w:p>
        </w:tc>
        <w:tc>
          <w:tcPr>
            <w:tcW w:type="dxa" w:w="5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Encryption at rest would have added a critical protection layer. Its absence is a direct DPA violation.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[POST-INJECT] Free-text notes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Increases (decisively)</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Undocumented Art. 10 data (medical conditions, political opinions). Highly re-identifiable. No DPIA, no RoPA entry. This is the tipping point.</w:t>
            </w:r>
          </w:p>
        </w:tc>
      </w:tr>
    </w:tbl>
    <w:p>
      <w:r>
        <w:br w:type="page"/>
      </w:r>
    </w:p>
    <w:p>
      <w:pPr>
        <w:pStyle w:val="Heading2"/>
        <w:spacing w:before="280" w:after="160"/>
      </w:pPr>
      <w:r>
        <w:rPr>
          <w:rFonts w:ascii="Arial" w:cs="Arial" w:eastAsia="Arial" w:hAnsi="Arial"/>
          <w:b/>
          <w:bCs/>
          <w:color w:val="2E75B6"/>
          <w:sz w:val="26"/>
          <w:szCs w:val="26"/>
        </w:rPr>
        <w:t xml:space="preserve">E.4 Model Answers — Block 4: Notification &amp; Communication</w:t>
      </w:r>
    </w:p>
    <w:p>
      <w:pPr>
        <w:pStyle w:val="Heading3"/>
        <w:spacing w:before="200" w:after="120"/>
      </w:pPr>
      <w:r>
        <w:rPr>
          <w:rFonts w:ascii="Arial" w:cs="Arial" w:eastAsia="Arial" w:hAnsi="Arial"/>
          <w:b/>
          <w:bCs/>
          <w:color w:val="2E75B6"/>
          <w:sz w:val="24"/>
          <w:szCs w:val="24"/>
        </w:rPr>
        <w:t xml:space="preserve">Question 11: Notification Obligations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
              <w:bottom w:val="single" w:color="2E7D32" w:sz="1"/>
              <w:right w:val="single" w:color="2E7D32" w:sz="1"/>
            </w:tcBorders>
            <w:shd w:fill="F0FAF0" w:val="clear"/>
            <w:tcMar>
              <w:top w:type="dxa" w:w="120"/>
              <w:left w:type="dxa" w:w="160"/>
              <w:bottom w:type="dxa" w:w="120"/>
              <w:right w:type="dxa" w:w="160"/>
            </w:tcMar>
          </w:tcPr>
          <w:p>
            <w:pPr>
              <w:spacing w:after="80"/>
            </w:pPr>
            <w:r>
              <w:rPr>
                <w:rFonts w:ascii="Arial" w:cs="Arial" w:eastAsia="Arial" w:hAnsi="Arial"/>
                <w:b/>
                <w:bCs/>
                <w:color w:val="2E7D32"/>
                <w:sz w:val="22"/>
                <w:szCs w:val="22"/>
              </w:rPr>
              <w:t xml:space="preserve">Model Answer</w:t>
            </w:r>
          </w:p>
          <w:p>
            <w:pPr>
              <w:spacing w:after="60" w:line="276"/>
            </w:pPr>
            <w:r>
              <w:rPr>
                <w:rFonts w:ascii="Arial" w:cs="Arial" w:eastAsia="Arial" w:hAnsi="Arial"/>
                <w:b/>
                <w:bCs/>
                <w:sz w:val="20"/>
                <w:szCs w:val="20"/>
              </w:rPr>
              <w:t xml:space="preserve">(a) EDPS (Art. 34): YES. </w:t>
            </w:r>
            <w:r>
              <w:rPr>
                <w:rFonts w:ascii="Arial" w:cs="Arial" w:eastAsia="Arial" w:hAnsi="Arial"/>
                <w:sz w:val="20"/>
                <w:szCs w:val="20"/>
              </w:rPr>
              <w:t xml:space="preserve">Required regardless of whether the verdict is Risk or High Risk. Must be filed within 72 hours of awareness. Information may be provided in phases.</w:t>
            </w:r>
          </w:p>
          <w:p>
            <w:pPr>
              <w:spacing w:after="60" w:line="276"/>
            </w:pPr>
            <w:r>
              <w:rPr>
                <w:rFonts w:ascii="Arial" w:cs="Arial" w:eastAsia="Arial" w:hAnsi="Arial"/>
                <w:b/>
                <w:bCs/>
                <w:sz w:val="20"/>
                <w:szCs w:val="20"/>
              </w:rPr>
              <w:t xml:space="preserve">(b) CERT-EU: YES. </w:t>
            </w:r>
            <w:r>
              <w:rPr>
                <w:rFonts w:ascii="Arial" w:cs="Arial" w:eastAsia="Arial" w:hAnsi="Arial"/>
                <w:sz w:val="20"/>
                <w:szCs w:val="20"/>
              </w:rPr>
              <w:t xml:space="preserve">Already triggered by the CERT-EU alert. The LCO must provide ongoing updates as the investigation progresses.</w:t>
            </w:r>
          </w:p>
          <w:p>
            <w:pPr>
              <w:spacing w:after="60" w:line="276"/>
            </w:pPr>
            <w:r>
              <w:rPr>
                <w:rFonts w:ascii="Arial" w:cs="Arial" w:eastAsia="Arial" w:hAnsi="Arial"/>
                <w:b/>
                <w:bCs/>
                <w:sz w:val="20"/>
                <w:szCs w:val="20"/>
              </w:rPr>
              <w:t xml:space="preserve">(c) Data subjects (Art. 35): LIKELY YES (post-inject). </w:t>
            </w:r>
            <w:r>
              <w:rPr>
                <w:rFonts w:ascii="Arial" w:cs="Arial" w:eastAsia="Arial" w:hAnsi="Arial"/>
                <w:sz w:val="20"/>
                <w:szCs w:val="20"/>
              </w:rPr>
              <w:t xml:space="preserve">If the assessment is High Risk, communication to data subjects is required “without undue delay.” Pre-inject, this is debatable. Post-inject, it is very difficult to argue against.</w:t>
            </w:r>
          </w:p>
          <w:p>
            <w:pPr>
              <w:spacing w:after="60" w:line="276"/>
            </w:pPr>
            <w:r>
              <w:rPr>
                <w:rFonts w:ascii="Arial" w:cs="Arial" w:eastAsia="Arial" w:hAnsi="Arial"/>
                <w:b/>
                <w:bCs/>
                <w:sz w:val="20"/>
                <w:szCs w:val="20"/>
              </w:rPr>
              <w:t xml:space="preserve">(d) Other supervisory authorities: POSSIBLY. </w:t>
            </w:r>
            <w:r>
              <w:rPr>
                <w:rFonts w:ascii="Arial" w:cs="Arial" w:eastAsia="Arial" w:hAnsi="Arial"/>
                <w:sz w:val="20"/>
                <w:szCs w:val="20"/>
              </w:rPr>
              <w:t xml:space="preserve">If data subjects reside in multiple Member States and GDPR authorities need to be informed, EUIBA-Alpha should coordinate with the EDPS on this.</w:t>
            </w:r>
          </w:p>
          <w:p>
            <w:pPr>
              <w:spacing w:after="60" w:line="276"/>
            </w:pPr>
            <w:r>
              <w:rPr>
                <w:rFonts w:ascii="Arial" w:cs="Arial" w:eastAsia="Arial" w:hAnsi="Arial"/>
                <w:b/>
                <w:bCs/>
                <w:sz w:val="20"/>
                <w:szCs w:val="20"/>
              </w:rPr>
              <w:t xml:space="preserve">(e) Law enforcement: CONSIDER. </w:t>
            </w:r>
            <w:r>
              <w:rPr>
                <w:rFonts w:ascii="Arial" w:cs="Arial" w:eastAsia="Arial" w:hAnsi="Arial"/>
                <w:sz w:val="20"/>
                <w:szCs w:val="20"/>
              </w:rPr>
              <w:t xml:space="preserve">Given the state-sponsored attribution, law enforcement and intelligence agencies may need to be involved. This should be coordinated with CERT-EU.</w:t>
            </w:r>
          </w:p>
          <w:p>
            <w:pPr>
              <w:spacing w:after="60" w:line="276"/>
            </w:pPr>
            <w:r>
              <w:rPr>
                <w:rFonts w:ascii="Arial" w:cs="Arial" w:eastAsia="Arial" w:hAnsi="Arial"/>
                <w:b/>
                <w:bCs/>
                <w:sz w:val="20"/>
                <w:szCs w:val="20"/>
              </w:rPr>
              <w:t xml:space="preserve">(f) Other EUIBAs: YES (EUIBA-Beta). </w:t>
            </w:r>
            <w:r>
              <w:rPr>
                <w:rFonts w:ascii="Arial" w:cs="Arial" w:eastAsia="Arial" w:hAnsi="Arial"/>
                <w:sz w:val="20"/>
                <w:szCs w:val="20"/>
              </w:rPr>
              <w:t xml:space="preserve">Already addressed in Block 1. Also consider whether other EUIBAs using CloudVault should be warned.</w:t>
            </w:r>
          </w:p>
        </w:tc>
      </w:tr>
    </w:tbl>
    <w:p>
      <w:pPr>
        <w:spacing w:after="60"/>
      </w:pPr>
    </w:p>
    <w:p>
      <w:pPr>
        <w:pStyle w:val="Heading3"/>
        <w:spacing w:before="200" w:after="120"/>
      </w:pPr>
      <w:r>
        <w:rPr>
          <w:rFonts w:ascii="Arial" w:cs="Arial" w:eastAsia="Arial" w:hAnsi="Arial"/>
          <w:b/>
          <w:bCs/>
          <w:color w:val="2E75B6"/>
          <w:sz w:val="24"/>
          <w:szCs w:val="24"/>
        </w:rPr>
        <w:t xml:space="preserve">Question 12: Data Subject Communication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
              <w:bottom w:val="single" w:color="2E7D32" w:sz="1"/>
              <w:right w:val="single" w:color="2E7D32" w:sz="1"/>
            </w:tcBorders>
            <w:shd w:fill="F0FAF0" w:val="clear"/>
            <w:tcMar>
              <w:top w:type="dxa" w:w="120"/>
              <w:left w:type="dxa" w:w="160"/>
              <w:bottom w:type="dxa" w:w="120"/>
              <w:right w:type="dxa" w:w="160"/>
            </w:tcMar>
          </w:tcPr>
          <w:p>
            <w:pPr>
              <w:spacing w:after="80"/>
            </w:pPr>
            <w:r>
              <w:rPr>
                <w:rFonts w:ascii="Arial" w:cs="Arial" w:eastAsia="Arial" w:hAnsi="Arial"/>
                <w:b/>
                <w:bCs/>
                <w:color w:val="2E7D32"/>
                <w:sz w:val="22"/>
                <w:szCs w:val="22"/>
              </w:rPr>
              <w:t xml:space="preserve">Model Answer — Key Elements</w:t>
            </w:r>
          </w:p>
          <w:p>
            <w:pPr>
              <w:spacing w:after="60" w:line="276"/>
            </w:pPr>
            <w:r>
              <w:rPr>
                <w:rFonts w:ascii="Arial" w:cs="Arial" w:eastAsia="Arial" w:hAnsi="Arial"/>
                <w:b/>
                <w:bCs/>
                <w:sz w:val="20"/>
                <w:szCs w:val="20"/>
              </w:rPr>
              <w:t xml:space="preserve">Nature of breach: </w:t>
            </w:r>
            <w:r>
              <w:rPr>
                <w:rFonts w:ascii="Arial" w:cs="Arial" w:eastAsia="Arial" w:hAnsi="Arial"/>
                <w:sz w:val="20"/>
                <w:szCs w:val="20"/>
              </w:rPr>
              <w:t xml:space="preserve">“We have been informed that a security incident at a service provider used for a research project may have resulted in unauthorised access to data collected as part of [project name]. The affected data includes general health information and demographic details, protected by pseudonymisation.”</w:t>
            </w:r>
          </w:p>
          <w:p>
            <w:pPr>
              <w:spacing w:after="60" w:line="276"/>
            </w:pPr>
            <w:r>
              <w:rPr>
                <w:rFonts w:ascii="Arial" w:cs="Arial" w:eastAsia="Arial" w:hAnsi="Arial"/>
                <w:sz w:val="20"/>
                <w:szCs w:val="20"/>
              </w:rPr>
              <w:t xml:space="preserve"/>
            </w:r>
          </w:p>
          <w:p>
            <w:pPr>
              <w:spacing w:after="60" w:line="276"/>
            </w:pPr>
            <w:r>
              <w:rPr>
                <w:rFonts w:ascii="Arial" w:cs="Arial" w:eastAsia="Arial" w:hAnsi="Arial"/>
                <w:b/>
                <w:bCs/>
                <w:sz w:val="20"/>
                <w:szCs w:val="20"/>
              </w:rPr>
              <w:t xml:space="preserve">DPO contact: </w:t>
            </w:r>
            <w:r>
              <w:rPr>
                <w:rFonts w:ascii="Arial" w:cs="Arial" w:eastAsia="Arial" w:hAnsi="Arial"/>
                <w:sz w:val="20"/>
                <w:szCs w:val="20"/>
              </w:rPr>
              <w:t xml:space="preserve">[Name, email, phone of EUIBA-Alpha’s DPO]</w:t>
            </w:r>
          </w:p>
          <w:p>
            <w:pPr>
              <w:spacing w:after="60" w:line="276"/>
            </w:pPr>
            <w:r>
              <w:rPr>
                <w:rFonts w:ascii="Arial" w:cs="Arial" w:eastAsia="Arial" w:hAnsi="Arial"/>
                <w:sz w:val="20"/>
                <w:szCs w:val="20"/>
              </w:rPr>
              <w:t xml:space="preserve"/>
            </w:r>
          </w:p>
          <w:p>
            <w:pPr>
              <w:spacing w:after="60" w:line="276"/>
            </w:pPr>
            <w:r>
              <w:rPr>
                <w:rFonts w:ascii="Arial" w:cs="Arial" w:eastAsia="Arial" w:hAnsi="Arial"/>
                <w:b/>
                <w:bCs/>
                <w:sz w:val="20"/>
                <w:szCs w:val="20"/>
              </w:rPr>
              <w:t xml:space="preserve">Likely consequences: </w:t>
            </w:r>
            <w:r>
              <w:rPr>
                <w:rFonts w:ascii="Arial" w:cs="Arial" w:eastAsia="Arial" w:hAnsi="Arial"/>
                <w:sz w:val="20"/>
                <w:szCs w:val="20"/>
              </w:rPr>
              <w:t xml:space="preserve">“The data was pseudonymised, meaning your name is not directly linked to the health information. However, as a precaution, there is a low risk that the combination of your demographic details with other publicly available information could be used to infer your participation.”</w:t>
            </w:r>
          </w:p>
          <w:p>
            <w:pPr>
              <w:spacing w:after="60" w:line="276"/>
            </w:pPr>
            <w:r>
              <w:rPr>
                <w:rFonts w:ascii="Arial" w:cs="Arial" w:eastAsia="Arial" w:hAnsi="Arial"/>
                <w:sz w:val="20"/>
                <w:szCs w:val="20"/>
              </w:rPr>
              <w:t xml:space="preserve"/>
            </w:r>
          </w:p>
          <w:p>
            <w:pPr>
              <w:spacing w:after="60" w:line="276"/>
            </w:pPr>
            <w:r>
              <w:rPr>
                <w:rFonts w:ascii="Arial" w:cs="Arial" w:eastAsia="Arial" w:hAnsi="Arial"/>
                <w:b/>
                <w:bCs/>
                <w:sz w:val="20"/>
                <w:szCs w:val="20"/>
              </w:rPr>
              <w:t xml:space="preserve">Measures taken: </w:t>
            </w:r>
            <w:r>
              <w:rPr>
                <w:rFonts w:ascii="Arial" w:cs="Arial" w:eastAsia="Arial" w:hAnsi="Arial"/>
                <w:sz w:val="20"/>
                <w:szCs w:val="20"/>
              </w:rPr>
              <w:t xml:space="preserve">“We have secured the re-identification keys, engaged cybersecurity experts, notified the EDPS and CERT-EU, and are working with law enforcement.”</w:t>
            </w:r>
          </w:p>
          <w:p>
            <w:pPr>
              <w:spacing w:after="60" w:line="276"/>
            </w:pPr>
            <w:r>
              <w:rPr>
                <w:rFonts w:ascii="Arial" w:cs="Arial" w:eastAsia="Arial" w:hAnsi="Arial"/>
                <w:sz w:val="20"/>
                <w:szCs w:val="20"/>
              </w:rPr>
              <w:t xml:space="preserve"/>
            </w:r>
          </w:p>
          <w:p>
            <w:pPr>
              <w:spacing w:after="60" w:line="276"/>
            </w:pPr>
            <w:r>
              <w:rPr>
                <w:rFonts w:ascii="Arial" w:cs="Arial" w:eastAsia="Arial" w:hAnsi="Arial"/>
                <w:b/>
                <w:bCs/>
                <w:sz w:val="20"/>
                <w:szCs w:val="20"/>
              </w:rPr>
              <w:t xml:space="preserve">What you can do: </w:t>
            </w:r>
            <w:r>
              <w:rPr>
                <w:rFonts w:ascii="Arial" w:cs="Arial" w:eastAsia="Arial" w:hAnsi="Arial"/>
                <w:sz w:val="20"/>
                <w:szCs w:val="20"/>
              </w:rPr>
              <w:t xml:space="preserve">“Monitor for unusual contacts referencing this research project. Be cautious of unsolicited communications claiming to be from EU institutions. Report concerns to [DPO contact].”</w:t>
            </w:r>
          </w:p>
          <w:p>
            <w:pPr>
              <w:spacing w:after="60" w:line="276"/>
            </w:pPr>
            <w:r>
              <w:rPr>
                <w:rFonts w:ascii="Arial" w:cs="Arial" w:eastAsia="Arial" w:hAnsi="Arial"/>
                <w:sz w:val="20"/>
                <w:szCs w:val="20"/>
              </w:rPr>
              <w:t xml:space="preserve"/>
            </w:r>
          </w:p>
          <w:p>
            <w:pPr>
              <w:spacing w:after="60" w:line="276"/>
            </w:pPr>
            <w:r>
              <w:rPr>
                <w:rFonts w:ascii="Arial" w:cs="Arial" w:eastAsia="Arial" w:hAnsi="Arial"/>
                <w:b/>
                <w:bCs/>
                <w:sz w:val="20"/>
                <w:szCs w:val="20"/>
              </w:rPr>
              <w:t xml:space="preserve">Delivery challenge: </w:t>
            </w:r>
            <w:r>
              <w:rPr>
                <w:rFonts w:ascii="Arial" w:cs="Arial" w:eastAsia="Arial" w:hAnsi="Arial"/>
                <w:sz w:val="20"/>
                <w:szCs w:val="20"/>
              </w:rPr>
              <w:t xml:space="preserve">750,000 individuals across 27 Member States requires: multilingual communication (at minimum the 24 EU official languages), coordination with national health authorities who may have participant contact details, potentially public announcement if individual notification is disproportionately difficult (Art. 35(3)(c) EUDPR).</w:t>
            </w:r>
          </w:p>
        </w:tc>
      </w:tr>
    </w:tbl>
    <w:p>
      <w:pPr>
        <w:spacing w:after="60"/>
      </w:pPr>
    </w:p>
    <w:p>
      <w:pPr>
        <w:pStyle w:val="Heading3"/>
        <w:spacing w:before="200" w:after="120"/>
      </w:pPr>
      <w:r>
        <w:rPr>
          <w:rFonts w:ascii="Arial" w:cs="Arial" w:eastAsia="Arial" w:hAnsi="Arial"/>
          <w:b/>
          <w:bCs/>
          <w:color w:val="2E75B6"/>
          <w:sz w:val="24"/>
          <w:szCs w:val="24"/>
        </w:rPr>
        <w:t xml:space="preserve">Question 13: Processor Accountability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
              <w:bottom w:val="single" w:color="2E7D32" w:sz="1"/>
              <w:right w:val="single" w:color="2E7D32" w:sz="1"/>
            </w:tcBorders>
            <w:shd w:fill="F0FAF0" w:val="clear"/>
            <w:tcMar>
              <w:top w:type="dxa" w:w="120"/>
              <w:left w:type="dxa" w:w="160"/>
              <w:bottom w:type="dxa" w:w="120"/>
              <w:right w:type="dxa" w:w="160"/>
            </w:tcMar>
          </w:tcPr>
          <w:p>
            <w:pPr>
              <w:spacing w:after="80"/>
            </w:pPr>
            <w:r>
              <w:rPr>
                <w:rFonts w:ascii="Arial" w:cs="Arial" w:eastAsia="Arial" w:hAnsi="Arial"/>
                <w:b/>
                <w:bCs/>
                <w:color w:val="2E7D32"/>
                <w:sz w:val="22"/>
                <w:szCs w:val="22"/>
              </w:rPr>
              <w:t xml:space="preserve">Model Answer</w:t>
            </w:r>
          </w:p>
          <w:p>
            <w:pPr>
              <w:spacing w:after="60" w:line="276"/>
            </w:pPr>
            <w:r>
              <w:rPr>
                <w:rFonts w:ascii="Arial" w:cs="Arial" w:eastAsia="Arial" w:hAnsi="Arial"/>
                <w:b/>
                <w:bCs/>
                <w:sz w:val="20"/>
                <w:szCs w:val="20"/>
              </w:rPr>
              <w:t xml:space="preserve">CloudVault’s accountability: </w:t>
            </w:r>
          </w:p>
          <w:p>
            <w:pPr>
              <w:spacing w:after="60" w:line="276"/>
            </w:pPr>
            <w:r>
              <w:rPr>
                <w:rFonts w:ascii="Arial" w:cs="Arial" w:eastAsia="Arial" w:hAnsi="Arial"/>
                <w:b/>
                <w:bCs/>
                <w:sz w:val="20"/>
                <w:szCs w:val="20"/>
              </w:rPr>
              <w:t xml:space="preserve">• </w:t>
            </w:r>
            <w:r>
              <w:rPr>
                <w:rFonts w:ascii="Arial" w:cs="Arial" w:eastAsia="Arial" w:hAnsi="Arial"/>
                <w:sz w:val="20"/>
                <w:szCs w:val="20"/>
              </w:rPr>
              <w:t xml:space="preserve">DPA breach (clause 5.2(a)): encryption at rest was a contractual obligation. CloudVault must explain the discrepancy.</w:t>
            </w:r>
          </w:p>
          <w:p>
            <w:pPr>
              <w:spacing w:after="60" w:line="276"/>
            </w:pPr>
            <w:r>
              <w:rPr>
                <w:rFonts w:ascii="Arial" w:cs="Arial" w:eastAsia="Arial" w:hAnsi="Arial"/>
                <w:b/>
                <w:bCs/>
                <w:sz w:val="20"/>
                <w:szCs w:val="20"/>
              </w:rPr>
              <w:t xml:space="preserve">• </w:t>
            </w:r>
            <w:r>
              <w:rPr>
                <w:rFonts w:ascii="Arial" w:cs="Arial" w:eastAsia="Arial" w:hAnsi="Arial"/>
                <w:sz w:val="20"/>
                <w:szCs w:val="20"/>
              </w:rPr>
              <w:t xml:space="preserve">Audit failure: the independent audit (8 months ago) missed this configuration gap, raising questions about audit quality.</w:t>
            </w:r>
          </w:p>
          <w:p>
            <w:pPr>
              <w:spacing w:after="60" w:line="276"/>
            </w:pPr>
            <w:r>
              <w:rPr>
                <w:rFonts w:ascii="Arial" w:cs="Arial" w:eastAsia="Arial" w:hAnsi="Arial"/>
                <w:b/>
                <w:bCs/>
                <w:sz w:val="20"/>
                <w:szCs w:val="20"/>
              </w:rPr>
              <w:t xml:space="preserve">• </w:t>
            </w:r>
            <w:r>
              <w:rPr>
                <w:rFonts w:ascii="Arial" w:cs="Arial" w:eastAsia="Arial" w:hAnsi="Arial"/>
                <w:sz w:val="20"/>
                <w:szCs w:val="20"/>
              </w:rPr>
              <w:t xml:space="preserve">EUIBA-Alpha should consider: contractual penalties, review of all other data held by CloudVault, potential termination and data migration, and formal complaint to relevant authorities.</w:t>
            </w:r>
          </w:p>
          <w:p>
            <w:pPr>
              <w:spacing w:after="60" w:line="276"/>
            </w:pPr>
            <w:r>
              <w:rPr>
                <w:rFonts w:ascii="Arial" w:cs="Arial" w:eastAsia="Arial" w:hAnsi="Arial"/>
                <w:sz w:val="20"/>
                <w:szCs w:val="20"/>
              </w:rPr>
              <w:t xml:space="preserve"/>
            </w:r>
          </w:p>
          <w:p>
            <w:pPr>
              <w:spacing w:after="60" w:line="276"/>
            </w:pPr>
            <w:r>
              <w:rPr>
                <w:rFonts w:ascii="Arial" w:cs="Arial" w:eastAsia="Arial" w:hAnsi="Arial"/>
                <w:b/>
                <w:bCs/>
                <w:sz w:val="20"/>
                <w:szCs w:val="20"/>
              </w:rPr>
              <w:t xml:space="preserve">EUIBA-Alpha’s own accountability: </w:t>
            </w:r>
          </w:p>
          <w:p>
            <w:pPr>
              <w:spacing w:after="60" w:line="276"/>
            </w:pPr>
            <w:r>
              <w:rPr>
                <w:rFonts w:ascii="Arial" w:cs="Arial" w:eastAsia="Arial" w:hAnsi="Arial"/>
                <w:b/>
                <w:bCs/>
                <w:sz w:val="20"/>
                <w:szCs w:val="20"/>
              </w:rPr>
              <w:t xml:space="preserve">• </w:t>
            </w:r>
            <w:r>
              <w:rPr>
                <w:rFonts w:ascii="Arial" w:cs="Arial" w:eastAsia="Arial" w:hAnsi="Arial"/>
                <w:sz w:val="20"/>
                <w:szCs w:val="20"/>
              </w:rPr>
              <w:t xml:space="preserve">The controller chose CloudVault and signed the DPA. Article 29 EUDPR requires sufficient guarantees.</w:t>
            </w:r>
          </w:p>
          <w:p>
            <w:pPr>
              <w:spacing w:after="60" w:line="276"/>
            </w:pPr>
            <w:r>
              <w:rPr>
                <w:rFonts w:ascii="Arial" w:cs="Arial" w:eastAsia="Arial" w:hAnsi="Arial"/>
                <w:b/>
                <w:bCs/>
                <w:sz w:val="20"/>
                <w:szCs w:val="20"/>
              </w:rPr>
              <w:t xml:space="preserve">• </w:t>
            </w:r>
            <w:r>
              <w:rPr>
                <w:rFonts w:ascii="Arial" w:cs="Arial" w:eastAsia="Arial" w:hAnsi="Arial"/>
                <w:sz w:val="20"/>
                <w:szCs w:val="20"/>
              </w:rPr>
              <w:t xml:space="preserve">The DPIA review was overdue by approximately 1 year. A timely review might have identified the encryption gap.</w:t>
            </w:r>
          </w:p>
          <w:p>
            <w:pPr>
              <w:spacing w:after="60" w:line="276"/>
            </w:pPr>
            <w:r>
              <w:rPr>
                <w:rFonts w:ascii="Arial" w:cs="Arial" w:eastAsia="Arial" w:hAnsi="Arial"/>
                <w:b/>
                <w:bCs/>
                <w:sz w:val="20"/>
                <w:szCs w:val="20"/>
              </w:rPr>
              <w:t xml:space="preserve">• </w:t>
            </w:r>
            <w:r>
              <w:rPr>
                <w:rFonts w:ascii="Arial" w:cs="Arial" w:eastAsia="Arial" w:hAnsi="Arial"/>
                <w:sz w:val="20"/>
                <w:szCs w:val="20"/>
              </w:rPr>
              <w:t xml:space="preserve">The data retention oversight is entirely EUIBA-Alpha’s responsibility, not CloudVault’s.</w:t>
            </w:r>
          </w:p>
          <w:p>
            <w:pPr>
              <w:spacing w:after="60" w:line="276"/>
            </w:pPr>
            <w:r>
              <w:rPr>
                <w:rFonts w:ascii="Arial" w:cs="Arial" w:eastAsia="Arial" w:hAnsi="Arial"/>
                <w:b/>
                <w:bCs/>
                <w:sz w:val="20"/>
                <w:szCs w:val="20"/>
              </w:rPr>
              <w:t xml:space="preserve">• </w:t>
            </w:r>
            <w:r>
              <w:rPr>
                <w:rFonts w:ascii="Arial" w:cs="Arial" w:eastAsia="Arial" w:hAnsi="Arial"/>
                <w:sz w:val="20"/>
                <w:szCs w:val="20"/>
              </w:rPr>
              <w:t xml:space="preserve">The undocumented free-text fields were added by EUIBA-Alpha’s own research coordinators, not by CloudVault.</w:t>
            </w:r>
          </w:p>
          <w:p>
            <w:pPr>
              <w:spacing w:after="60" w:line="276"/>
            </w:pPr>
            <w:r>
              <w:rPr>
                <w:rFonts w:ascii="Arial" w:cs="Arial" w:eastAsia="Arial" w:hAnsi="Arial"/>
                <w:sz w:val="20"/>
                <w:szCs w:val="20"/>
              </w:rPr>
              <w:t xml:space="preserve"/>
            </w:r>
          </w:p>
          <w:p>
            <w:pPr>
              <w:spacing w:after="60" w:line="276"/>
            </w:pPr>
            <w:r>
              <w:rPr>
                <w:rFonts w:ascii="Arial" w:cs="Arial" w:eastAsia="Arial" w:hAnsi="Arial"/>
                <w:b/>
                <w:bCs/>
                <w:sz w:val="20"/>
                <w:szCs w:val="20"/>
              </w:rPr>
              <w:t xml:space="preserve">Key teaching point: </w:t>
            </w:r>
            <w:r>
              <w:rPr>
                <w:rFonts w:ascii="Arial" w:cs="Arial" w:eastAsia="Arial" w:hAnsi="Arial"/>
                <w:sz w:val="20"/>
                <w:szCs w:val="20"/>
              </w:rPr>
              <w:t xml:space="preserve">The controller cannot fully delegate accountability. The processor’s failure does not relieve the controller of its obligations.</w:t>
            </w:r>
          </w:p>
        </w:tc>
      </w:tr>
    </w:tbl>
    <w:p>
      <w:pPr>
        <w:pStyle w:val="Heading2"/>
        <w:spacing w:before="280" w:after="160"/>
      </w:pPr>
      <w:r>
        <w:rPr>
          <w:rFonts w:ascii="Arial" w:cs="Arial" w:eastAsia="Arial" w:hAnsi="Arial"/>
          <w:b/>
          <w:bCs/>
          <w:color w:val="2E75B6"/>
          <w:sz w:val="26"/>
          <w:szCs w:val="26"/>
        </w:rPr>
        <w:t xml:space="preserve">E.5 Model Risk Assessment (Post-Inject)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
              <w:bottom w:val="single" w:color="2E7D32" w:sz="1"/>
              <w:right w:val="single" w:color="2E7D32" w:sz="1"/>
            </w:tcBorders>
            <w:shd w:fill="F0FAF0" w:val="clear"/>
            <w:tcMar>
              <w:top w:type="dxa" w:w="120"/>
              <w:left w:type="dxa" w:w="160"/>
              <w:bottom w:type="dxa" w:w="120"/>
              <w:right w:type="dxa" w:w="160"/>
            </w:tcMar>
          </w:tcPr>
          <w:p>
            <w:pPr>
              <w:spacing w:after="80"/>
            </w:pPr>
            <w:r>
              <w:rPr>
                <w:rFonts w:ascii="Arial" w:cs="Arial" w:eastAsia="Arial" w:hAnsi="Arial"/>
                <w:b/>
                <w:bCs/>
                <w:color w:val="2E7D32"/>
                <w:sz w:val="22"/>
                <w:szCs w:val="22"/>
              </w:rPr>
              <w:t xml:space="preserve">Overall Assessment: HIGH RISK (Post-Inject)</w:t>
            </w:r>
          </w:p>
          <w:p>
            <w:pPr>
              <w:spacing w:after="60" w:line="276"/>
            </w:pPr>
            <w:r>
              <w:rPr>
                <w:rFonts w:ascii="Arial" w:cs="Arial" w:eastAsia="Arial" w:hAnsi="Arial"/>
                <w:b/>
                <w:bCs/>
                <w:sz w:val="20"/>
                <w:szCs w:val="20"/>
              </w:rPr>
              <w:t xml:space="preserve">Risk Level: HIGH RISK.</w:t>
            </w:r>
          </w:p>
          <w:p>
            <w:pPr>
              <w:spacing w:after="60" w:line="276"/>
            </w:pPr>
            <w:r>
              <w:rPr>
                <w:rFonts w:ascii="Arial" w:cs="Arial" w:eastAsia="Arial" w:hAnsi="Arial"/>
                <w:sz w:val="20"/>
                <w:szCs w:val="20"/>
              </w:rPr>
              <w:t xml:space="preserve"/>
            </w:r>
          </w:p>
          <w:p>
            <w:pPr>
              <w:spacing w:after="60" w:line="276"/>
            </w:pPr>
            <w:r>
              <w:rPr>
                <w:rFonts w:ascii="Arial" w:cs="Arial" w:eastAsia="Arial" w:hAnsi="Arial"/>
                <w:b/>
                <w:bCs/>
                <w:sz w:val="20"/>
                <w:szCs w:val="20"/>
              </w:rPr>
              <w:t xml:space="preserve">Rationale: </w:t>
            </w:r>
            <w:r>
              <w:rPr>
                <w:rFonts w:ascii="Arial" w:cs="Arial" w:eastAsia="Arial" w:hAnsi="Arial"/>
                <w:sz w:val="20"/>
                <w:szCs w:val="20"/>
              </w:rPr>
              <w:t xml:space="preserve">The combination of: (1) health data (Article 10 special category); (2) 750,000 data subjects across 27 Member States; (3) suspected state-sponsored attacker with advanced re-identification capabilities; (4) processor’s contractual failure on encryption; (5) data retention violation expanding exposure scope; and critically (6) the post-inject discovery of undocumented free-text fields containing specific medical conditions and political opinions — together create a scenario that is “likely to result in a high risk to the rights and freedoms” of data subjects.</w:t>
            </w:r>
          </w:p>
          <w:p>
            <w:pPr>
              <w:spacing w:after="60" w:line="276"/>
            </w:pPr>
            <w:r>
              <w:rPr>
                <w:rFonts w:ascii="Arial" w:cs="Arial" w:eastAsia="Arial" w:hAnsi="Arial"/>
                <w:sz w:val="20"/>
                <w:szCs w:val="20"/>
              </w:rPr>
              <w:t xml:space="preserve"/>
            </w:r>
          </w:p>
          <w:p>
            <w:pPr>
              <w:spacing w:after="60" w:line="276"/>
            </w:pPr>
            <w:r>
              <w:rPr>
                <w:rFonts w:ascii="Arial" w:cs="Arial" w:eastAsia="Arial" w:hAnsi="Arial"/>
                <w:b/>
                <w:bCs/>
                <w:sz w:val="20"/>
                <w:szCs w:val="20"/>
              </w:rPr>
              <w:t xml:space="preserve">Notification to EDPS: YES </w:t>
            </w:r>
            <w:r>
              <w:rPr>
                <w:rFonts w:ascii="Arial" w:cs="Arial" w:eastAsia="Arial" w:hAnsi="Arial"/>
                <w:sz w:val="20"/>
                <w:szCs w:val="20"/>
              </w:rPr>
              <w:t xml:space="preserve">(required, within 72 hours, information in phases).</w:t>
            </w:r>
          </w:p>
          <w:p>
            <w:pPr>
              <w:spacing w:after="60" w:line="276"/>
            </w:pPr>
            <w:r>
              <w:rPr>
                <w:rFonts w:ascii="Arial" w:cs="Arial" w:eastAsia="Arial" w:hAnsi="Arial"/>
                <w:b/>
                <w:bCs/>
                <w:sz w:val="20"/>
                <w:szCs w:val="20"/>
              </w:rPr>
              <w:t xml:space="preserve">Communication to data subjects: YES </w:t>
            </w:r>
            <w:r>
              <w:rPr>
                <w:rFonts w:ascii="Arial" w:cs="Arial" w:eastAsia="Arial" w:hAnsi="Arial"/>
                <w:sz w:val="20"/>
                <w:szCs w:val="20"/>
              </w:rPr>
              <w:t xml:space="preserve">(required, without undue delay).</w:t>
            </w:r>
          </w:p>
          <w:p>
            <w:pPr>
              <w:spacing w:after="60" w:line="276"/>
            </w:pPr>
            <w:r>
              <w:rPr>
                <w:rFonts w:ascii="Arial" w:cs="Arial" w:eastAsia="Arial" w:hAnsi="Arial"/>
                <w:b/>
                <w:bCs/>
                <w:sz w:val="20"/>
                <w:szCs w:val="20"/>
              </w:rPr>
              <w:t xml:space="preserve">CERT-EU coordination: YES </w:t>
            </w:r>
            <w:r>
              <w:rPr>
                <w:rFonts w:ascii="Arial" w:cs="Arial" w:eastAsia="Arial" w:hAnsi="Arial"/>
                <w:sz w:val="20"/>
                <w:szCs w:val="20"/>
              </w:rPr>
              <w:t xml:space="preserve">(ongoing, as per Cybersecurity Regulation).</w:t>
            </w:r>
          </w:p>
          <w:p>
            <w:pPr>
              <w:spacing w:after="60" w:line="276"/>
            </w:pPr>
            <w:r>
              <w:rPr>
                <w:rFonts w:ascii="Arial" w:cs="Arial" w:eastAsia="Arial" w:hAnsi="Arial"/>
                <w:b/>
                <w:bCs/>
                <w:sz w:val="20"/>
                <w:szCs w:val="20"/>
              </w:rPr>
              <w:t xml:space="preserve">Internal record: YES </w:t>
            </w:r>
            <w:r>
              <w:rPr>
                <w:rFonts w:ascii="Arial" w:cs="Arial" w:eastAsia="Arial" w:hAnsi="Arial"/>
                <w:sz w:val="20"/>
                <w:szCs w:val="20"/>
              </w:rPr>
              <w:t xml:space="preserve">(required under Article 34(5) EUDPR).</w:t>
            </w:r>
          </w:p>
        </w:tc>
      </w:tr>
    </w:tbl>
    <w:p>
      <w:pPr>
        <w:pStyle w:val="Heading2"/>
        <w:spacing w:before="280" w:after="160"/>
      </w:pPr>
      <w:r>
        <w:rPr>
          <w:rFonts w:ascii="Arial" w:cs="Arial" w:eastAsia="Arial" w:hAnsi="Arial"/>
          <w:b/>
          <w:bCs/>
          <w:color w:val="2E75B6"/>
          <w:sz w:val="26"/>
          <w:szCs w:val="26"/>
        </w:rPr>
        <w:t xml:space="preserve">E.6 Post-Inject Reassessment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26"/>
      </w:tblGrid>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Change Introduced by Inject</w:t>
            </w:r>
          </w:p>
        </w:tc>
        <w:tc>
          <w:tcPr>
            <w:tcW w:type="dxa" w:w="3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Impact on Assessment</w:t>
            </w:r>
          </w:p>
        </w:tc>
        <w:tc>
          <w:tcPr>
            <w:tcW w:type="dxa" w:w="32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Expected Team Reaction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500 records with free-text medical conditions and disability status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Introduces unambiguous Article 10 special-category data. Far more identifiable than generalised “Good/Fair/Poor.” Specific conditions enable targeted re-identification.</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Teams at “Risk” should shift to “High Risk.” This is the decisive factor.</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Political opinions in free-text fields</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Adds another special category. In the context of a state-sponsored attacker, political opinions create persecution risk.</w:t>
            </w:r>
          </w:p>
        </w:tc>
        <w:tc>
          <w:tcPr>
            <w:tcW w:type="dxa" w:w="3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Should reinforce the High Risk conclusion. Connects data protection to fundamental rights.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Undocumented processing (not in RoPA or DPIA)</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Separate accountability violation: processing without documentation, potentially without legal basis. Compounds the breach with a governance failure.</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Teams should recognise this as a separate issue to address in the EDPS notification.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
              <w:bottom w:val="single" w:color="2E75B6" w:sz="1"/>
              <w:right w:val="single" w:color="2E75B6" w:sz="1"/>
            </w:tcBorders>
            <w:shd w:fill="EBF2FA" w:val="clear"/>
            <w:tcMar>
              <w:top w:type="dxa" w:w="120"/>
              <w:left w:type="dxa" w:w="160"/>
              <w:bottom w:type="dxa" w:w="120"/>
              <w:right w:type="dxa" w:w="160"/>
            </w:tcMar>
          </w:tcPr>
          <w:p>
            <w:pPr>
              <w:spacing w:after="80"/>
            </w:pPr>
            <w:r>
              <w:rPr>
                <w:rFonts w:ascii="Arial" w:cs="Arial" w:eastAsia="Arial" w:hAnsi="Arial"/>
                <w:b/>
                <w:bCs/>
                <w:color w:val="1F3864"/>
                <w:sz w:val="22"/>
                <w:szCs w:val="22"/>
              </w:rPr>
              <w:t xml:space="preserve">Key Pedagogical Takeaways for This Scenario</w:t>
            </w:r>
          </w:p>
          <w:p>
            <w:pPr>
              <w:spacing w:after="60" w:line="276"/>
            </w:pPr>
            <w:r>
              <w:rPr>
                <w:rFonts w:ascii="Arial" w:cs="Arial" w:eastAsia="Arial" w:hAnsi="Arial"/>
                <w:b/>
                <w:bCs/>
                <w:sz w:val="20"/>
                <w:szCs w:val="20"/>
              </w:rPr>
              <w:t xml:space="preserve">1. </w:t>
            </w:r>
            <w:r>
              <w:rPr>
                <w:rFonts w:ascii="Arial" w:cs="Arial" w:eastAsia="Arial" w:hAnsi="Arial"/>
                <w:sz w:val="20"/>
                <w:szCs w:val="20"/>
              </w:rPr>
              <w:t xml:space="preserve">Multiple compounding factors shift the balance: no single factor makes this High Risk, but the combination does.</w:t>
            </w:r>
          </w:p>
          <w:p>
            <w:pPr>
              <w:spacing w:after="60" w:line="276"/>
            </w:pPr>
            <w:r>
              <w:rPr>
                <w:rFonts w:ascii="Arial" w:cs="Arial" w:eastAsia="Arial" w:hAnsi="Arial"/>
                <w:b/>
                <w:bCs/>
                <w:sz w:val="20"/>
                <w:szCs w:val="20"/>
              </w:rPr>
              <w:t xml:space="preserve">2. </w:t>
            </w:r>
            <w:r>
              <w:rPr>
                <w:rFonts w:ascii="Arial" w:cs="Arial" w:eastAsia="Arial" w:hAnsi="Arial"/>
                <w:sz w:val="20"/>
                <w:szCs w:val="20"/>
              </w:rPr>
              <w:t xml:space="preserve">Pseudonymisation is a safeguard, not a guarantee. A motivated state-sponsored attacker changes the re-identification calculus.</w:t>
            </w:r>
          </w:p>
          <w:p>
            <w:pPr>
              <w:spacing w:after="60" w:line="276"/>
            </w:pPr>
            <w:r>
              <w:rPr>
                <w:rFonts w:ascii="Arial" w:cs="Arial" w:eastAsia="Arial" w:hAnsi="Arial"/>
                <w:b/>
                <w:bCs/>
                <w:sz w:val="20"/>
                <w:szCs w:val="20"/>
              </w:rPr>
              <w:t xml:space="preserve">3. </w:t>
            </w:r>
            <w:r>
              <w:rPr>
                <w:rFonts w:ascii="Arial" w:cs="Arial" w:eastAsia="Arial" w:hAnsi="Arial"/>
                <w:sz w:val="20"/>
                <w:szCs w:val="20"/>
              </w:rPr>
              <w:t xml:space="preserve">Controllers cannot fully delegate accountability to processors. Due diligence and DPIA reviews are ongoing obligations.</w:t>
            </w:r>
          </w:p>
          <w:p>
            <w:pPr>
              <w:spacing w:after="60" w:line="276"/>
            </w:pPr>
            <w:r>
              <w:rPr>
                <w:rFonts w:ascii="Arial" w:cs="Arial" w:eastAsia="Arial" w:hAnsi="Arial"/>
                <w:b/>
                <w:bCs/>
                <w:sz w:val="20"/>
                <w:szCs w:val="20"/>
              </w:rPr>
              <w:t xml:space="preserve">4. </w:t>
            </w:r>
            <w:r>
              <w:rPr>
                <w:rFonts w:ascii="Arial" w:cs="Arial" w:eastAsia="Arial" w:hAnsi="Arial"/>
                <w:sz w:val="20"/>
                <w:szCs w:val="20"/>
              </w:rPr>
              <w:t xml:space="preserve">Breach investigations evolve. Risk assessments must be updated as new information emerges. The initial classification is not final.</w:t>
            </w:r>
          </w:p>
          <w:p>
            <w:pPr>
              <w:spacing w:after="60" w:line="276"/>
            </w:pPr>
            <w:r>
              <w:rPr>
                <w:rFonts w:ascii="Arial" w:cs="Arial" w:eastAsia="Arial" w:hAnsi="Arial"/>
                <w:b/>
                <w:bCs/>
                <w:sz w:val="20"/>
                <w:szCs w:val="20"/>
              </w:rPr>
              <w:t xml:space="preserve">5. </w:t>
            </w:r>
            <w:r>
              <w:rPr>
                <w:rFonts w:ascii="Arial" w:cs="Arial" w:eastAsia="Arial" w:hAnsi="Arial"/>
                <w:sz w:val="20"/>
                <w:szCs w:val="20"/>
              </w:rPr>
              <w:t xml:space="preserve">Data governance failures (retention, documentation) have real consequences when a breach occurs — they compound the severity.</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888888"/>
        <w:sz w:val="16"/>
        <w:szCs w:val="16"/>
      </w:rPr>
      <w:t xml:space="preserve">PEDRRA — Scenario 2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888888"/>
        <w:sz w:val="16"/>
        <w:szCs w:val="16"/>
      </w:rPr>
      <w:t xml:space="preserve">PEDRRA — Scenario 2: The Inter-Agency Data Leak</w:t>
    </w:r>
    <w:r>
      <w:rPr>
        <w:rFonts w:ascii="Arial" w:cs="Arial" w:eastAsia="Arial" w:hAnsi="Arial"/>
        <w:i/>
        <w:iCs/>
        <w:color w:val="888888"/>
        <w:sz w:val="16"/>
        <w:szCs w:val="16"/>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2026-03-13T09:10:46.887Z</dcterms:created>
  <dcterms:modified xsi:type="dcterms:W3CDTF">2026-03-13T09:10:46.888Z</dcterms:modified>
</cp:coreProperties>
</file>

<file path=docProps/custom.xml><?xml version="1.0" encoding="utf-8"?>
<Properties xmlns="http://schemas.openxmlformats.org/officeDocument/2006/custom-properties" xmlns:vt="http://schemas.openxmlformats.org/officeDocument/2006/docPropsVTypes"/>
</file>