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INTELLIGENT FREIGHT FORECASTING &amp; VESSEL OPTIMIZATION SYSTEM</w:t>
      </w:r>
    </w:p>
    <w:p>
      <w:pPr>
        <w:jc w:val="center"/>
      </w:pPr>
      <w:r>
        <w:rPr>
          <w:i/>
          <w:sz w:val="24"/>
        </w:rPr>
        <w:t>For Optimized Vessel Chartering &amp; Bulk Cargo Procurement Across India's East Coast</w:t>
      </w:r>
    </w:p>
    <w:p>
      <w:pPr>
        <w:jc w:val="center"/>
      </w:pPr>
      <w:r>
        <w:rPr>
          <w:b/>
        </w:rPr>
        <w:t>Smart India Hackathon 2026 • Problem Statement SIH26006</w:t>
      </w:r>
    </w:p>
    <w:p>
      <w:pPr>
        <w:jc w:val="center"/>
      </w:pPr>
      <w:r>
        <w:rPr>
          <w:sz w:val="22"/>
        </w:rPr>
        <w:t>FINAL CONSOLIDATED PRODUCT REQUIREMENTS DOCUMENT</w:t>
        <w:br/>
        <w:t>Version 3.0 • 31 August 2026</w:t>
      </w:r>
    </w:p>
    <w:p>
      <w:pPr>
        <w:spacing w:after="80"/>
      </w:pPr>
      <w:r>
        <w:t>This document consolidates PRD v1.0 and Updated PRD v2.0. It preserves the original forecasting, data, API, dashboard, MLOps, execution, demo, risk, and SIH strategy details while incorporating the four expanded solution pillars: market-entry timing, vessel-type optimization, multi-voyage/idle-scenario management, and risk/sensitivity analysis.</w:t>
      </w:r>
    </w:p>
    <w:p>
      <w:r>
        <w:br w:type="page"/>
      </w:r>
    </w:p>
    <w:p>
      <w:pPr>
        <w:pStyle w:val="Heading1"/>
      </w:pPr>
      <w:r>
        <w:t>Document Structure</w:t>
      </w:r>
    </w:p>
    <w:p>
      <w:pPr>
        <w:pStyle w:val="ListBullet"/>
        <w:spacing w:after="20"/>
      </w:pPr>
      <w:r>
        <w:t>1. Executive Summary</w:t>
      </w:r>
    </w:p>
    <w:p>
      <w:pPr>
        <w:pStyle w:val="ListBullet"/>
        <w:spacing w:after="20"/>
      </w:pPr>
      <w:r>
        <w:t>2. Problem Definition &amp; Market Context</w:t>
      </w:r>
    </w:p>
    <w:p>
      <w:pPr>
        <w:pStyle w:val="ListBullet"/>
        <w:spacing w:after="20"/>
      </w:pPr>
      <w:r>
        <w:t>3. Product Vision, Goals &amp; Success Metrics</w:t>
      </w:r>
    </w:p>
    <w:p>
      <w:pPr>
        <w:pStyle w:val="ListBullet"/>
        <w:spacing w:after="20"/>
      </w:pPr>
      <w:r>
        <w:t>4. Users &amp; Core Use Cases</w:t>
      </w:r>
    </w:p>
    <w:p>
      <w:pPr>
        <w:pStyle w:val="ListBullet"/>
        <w:spacing w:after="20"/>
      </w:pPr>
      <w:r>
        <w:t>5. Solution Architecture — Four Pillars</w:t>
      </w:r>
    </w:p>
    <w:p>
      <w:pPr>
        <w:pStyle w:val="ListBullet"/>
        <w:spacing w:after="20"/>
      </w:pPr>
      <w:r>
        <w:t>6. Geographic, Port &amp; Vessel Domain Model</w:t>
      </w:r>
    </w:p>
    <w:p>
      <w:pPr>
        <w:pStyle w:val="ListBullet"/>
        <w:spacing w:after="20"/>
      </w:pPr>
      <w:r>
        <w:t>7. Data Sources &amp; Data Pipeline</w:t>
      </w:r>
    </w:p>
    <w:p>
      <w:pPr>
        <w:pStyle w:val="ListBullet"/>
        <w:spacing w:after="20"/>
      </w:pPr>
      <w:r>
        <w:t>8. Machine Learning &amp; Optimization Architecture</w:t>
      </w:r>
    </w:p>
    <w:p>
      <w:pPr>
        <w:pStyle w:val="ListBullet"/>
        <w:spacing w:after="20"/>
      </w:pPr>
      <w:r>
        <w:t>9. Functional Requirements</w:t>
      </w:r>
    </w:p>
    <w:p>
      <w:pPr>
        <w:pStyle w:val="ListBullet"/>
        <w:spacing w:after="20"/>
      </w:pPr>
      <w:r>
        <w:t>10. API Specification</w:t>
      </w:r>
    </w:p>
    <w:p>
      <w:pPr>
        <w:pStyle w:val="ListBullet"/>
        <w:spacing w:after="20"/>
      </w:pPr>
      <w:r>
        <w:t>11. Frontend / Dashboard Requirements</w:t>
      </w:r>
    </w:p>
    <w:p>
      <w:pPr>
        <w:pStyle w:val="ListBullet"/>
        <w:spacing w:after="20"/>
      </w:pPr>
      <w:r>
        <w:t>12. Technology Stack &amp; Architecture</w:t>
      </w:r>
    </w:p>
    <w:p>
      <w:pPr>
        <w:pStyle w:val="ListBullet"/>
        <w:spacing w:after="20"/>
      </w:pPr>
      <w:r>
        <w:t>13. Data Model &amp; Repository Structure</w:t>
      </w:r>
    </w:p>
    <w:p>
      <w:pPr>
        <w:pStyle w:val="ListBullet"/>
        <w:spacing w:after="20"/>
      </w:pPr>
      <w:r>
        <w:t>14. Pre-Hackathon Roadmap — 6 Weeks</w:t>
      </w:r>
    </w:p>
    <w:p>
      <w:pPr>
        <w:pStyle w:val="ListBullet"/>
        <w:spacing w:after="20"/>
      </w:pPr>
      <w:r>
        <w:t>15. 72-Hour Hackathon Execution Plan</w:t>
      </w:r>
    </w:p>
    <w:p>
      <w:pPr>
        <w:pStyle w:val="ListBullet"/>
        <w:spacing w:after="20"/>
      </w:pPr>
      <w:r>
        <w:t>16. Testing, Validation &amp; Quality Gates</w:t>
      </w:r>
    </w:p>
    <w:p>
      <w:pPr>
        <w:pStyle w:val="ListBullet"/>
        <w:spacing w:after="20"/>
      </w:pPr>
      <w:r>
        <w:t>17. Risks, Fallbacks &amp; Demo Reliability</w:t>
      </w:r>
    </w:p>
    <w:p>
      <w:pPr>
        <w:pStyle w:val="ListBullet"/>
        <w:spacing w:after="20"/>
      </w:pPr>
      <w:r>
        <w:t>18. SIH Winning Strategy &amp; Differentiation</w:t>
      </w:r>
    </w:p>
    <w:p>
      <w:pPr>
        <w:pStyle w:val="ListBullet"/>
        <w:spacing w:after="20"/>
      </w:pPr>
      <w:r>
        <w:t>19. Demo Script &amp; Judge Q&amp;A</w:t>
      </w:r>
    </w:p>
    <w:p>
      <w:pPr>
        <w:pStyle w:val="ListBullet"/>
        <w:spacing w:after="20"/>
      </w:pPr>
      <w:r>
        <w:t>20. Resources, Dependencies &amp; Hardware</w:t>
      </w:r>
    </w:p>
    <w:p>
      <w:pPr>
        <w:pStyle w:val="ListBullet"/>
        <w:spacing w:after="20"/>
      </w:pPr>
      <w:r>
        <w:t>21. Final Hackathon Acceptance Criteria</w:t>
      </w:r>
    </w:p>
    <w:p>
      <w:pPr>
        <w:pStyle w:val="Heading1"/>
      </w:pPr>
      <w:r>
        <w:t>1. Executive Summary</w:t>
      </w:r>
    </w:p>
    <w:p>
      <w:pPr>
        <w:spacing w:after="80"/>
      </w:pPr>
      <w:r>
        <w:t>India's East Coast bulk-cargo importers, charterers, freight brokers, and logistics planners face volatile freight markets and fragmented operational decisions. Teams often react to spot-market prices instead of systematically forecasting rates, coordinating vessel selection with port constraints, and planning multiple voyages together. The result is missed procurement windows, inefficient vessel choices, avoidable idle time, and procurement costs estimated at 15–25% above an optimal plan.</w:t>
      </w:r>
    </w:p>
    <w:p>
      <w:pPr>
        <w:spacing w:after="80"/>
      </w:pPr>
      <w:r>
        <w:t>The proposed solution is an AI-driven Intelligent Freight Forecasting &amp; Vessel Optimization System. It combines historical freight rates, fuel prices, commodity prices, AIS-derived vessel/queue signals, port constraints, origin-commodity availability, weather/seasonality, and machine-learning models to turn market data into an actionable procurement and chartering plan.</w:t>
      </w:r>
    </w:p>
    <w:p>
      <w:pPr>
        <w:spacing w:after="80"/>
      </w:pPr>
      <w:r>
        <w:t>The system's central output is not merely a predicted freight rate. It answers: when should we enter the market, which vessel type should we use, which voyages should be bundled, how much could the plan save, and how does the recommendation change when market conditions shift?</w:t>
      </w:r>
    </w:p>
    <w:p>
      <w:pPr>
        <w:pStyle w:val="Heading2"/>
      </w:pPr>
      <w:r>
        <w:t>Core Product Outputs</w:t>
      </w:r>
    </w:p>
    <w:p>
      <w:pPr>
        <w:pStyle w:val="ListBullet"/>
        <w:spacing w:after="20"/>
      </w:pPr>
      <w:r>
        <w:t>14-, 30-, and 90-day freight-rate forecasts with confidence intervals.</w:t>
      </w:r>
    </w:p>
    <w:p>
      <w:pPr>
        <w:pStyle w:val="ListBullet"/>
        <w:spacing w:after="20"/>
      </w:pPr>
      <w:r>
        <w:t>Optimal market-entry recommendations such as Buy Now, Wait X Days, or Avoid Window.</w:t>
      </w:r>
    </w:p>
    <w:p>
      <w:pPr>
        <w:pStyle w:val="ListBullet"/>
        <w:spacing w:after="20"/>
      </w:pPr>
      <w:r>
        <w:t>Ranked vessel-type recommendations: Handysize, Supramax, Panamax, Capesize.</w:t>
      </w:r>
    </w:p>
    <w:p>
      <w:pPr>
        <w:pStyle w:val="ListBullet"/>
        <w:spacing w:after="20"/>
      </w:pPr>
      <w:r>
        <w:t>Port-feasibility filtering using draft, LOA, beam, cargo capacity, and congestion constraints.</w:t>
      </w:r>
    </w:p>
    <w:p>
      <w:pPr>
        <w:pStyle w:val="ListBullet"/>
        <w:spacing w:after="20"/>
      </w:pPr>
      <w:r>
        <w:t>Multi-voyage contract/bundling plans for 3–6 week and 3–6 month planning horizons.</w:t>
      </w:r>
    </w:p>
    <w:p>
      <w:pPr>
        <w:pStyle w:val="ListBullet"/>
        <w:spacing w:after="20"/>
      </w:pPr>
      <w:r>
        <w:t>Idle-time forecasts and cost/savings comparison against spot contracting.</w:t>
      </w:r>
    </w:p>
    <w:p>
      <w:pPr>
        <w:pStyle w:val="ListBullet"/>
        <w:spacing w:after="20"/>
      </w:pPr>
      <w:r>
        <w:t>What-if sensitivity analysis for fuel, congestion, commodity prices, seasonality, and deadline changes.</w:t>
      </w:r>
    </w:p>
    <w:p>
      <w:pPr>
        <w:pStyle w:val="ListBullet"/>
        <w:spacing w:after="20"/>
      </w:pPr>
      <w:r>
        <w:t>Explainable drivers using feature importance / SHAP and quantified uncertainty.</w:t>
      </w:r>
    </w:p>
    <w:p>
      <w:pPr>
        <w:pStyle w:val="Heading1"/>
      </w:pPr>
      <w:r>
        <w:t>2. Problem Definition &amp; Market Context</w:t>
      </w:r>
    </w:p>
    <w:p>
      <w:pPr>
        <w:pStyle w:val="Heading2"/>
      </w:pPr>
      <w:r>
        <w:t>2.1 Operational Problems</w:t>
      </w:r>
    </w:p>
    <w:p>
      <w:pPr>
        <w:pStyle w:val="ListBullet"/>
        <w:spacing w:after="20"/>
      </w:pPr>
      <w:r>
        <w:t>Daily market exploration without data-driven insight: procurement teams react to spot contracts and may miss optimal entry windows.</w:t>
      </w:r>
    </w:p>
    <w:p>
      <w:pPr>
        <w:pStyle w:val="ListBullet"/>
        <w:spacing w:after="20"/>
      </w:pPr>
      <w:r>
        <w:t>Inefficient contract strategy: reliance on individual spot contracts rather than coordinated short-term (3–6 weeks) and medium-term (3–6 months) multi-voyage contracts.</w:t>
      </w:r>
    </w:p>
    <w:p>
      <w:pPr>
        <w:pStyle w:val="ListBullet"/>
        <w:spacing w:after="20"/>
      </w:pPr>
      <w:r>
        <w:t>Geographic constraints: cargo originates from Australia, the US, Mozambique, Russia, and Indonesia, each with different transit times and infrastructure constraints.</w:t>
      </w:r>
    </w:p>
    <w:p>
      <w:pPr>
        <w:pStyle w:val="ListBullet"/>
        <w:spacing w:after="20"/>
      </w:pPr>
      <w:r>
        <w:t>Vessel mismatch: no systematic selection between Handysize, Supramax, Panamax, and Capesize for a route/commodity/port combination.</w:t>
      </w:r>
    </w:p>
    <w:p>
      <w:pPr>
        <w:pStyle w:val="ListBullet"/>
        <w:spacing w:after="20"/>
      </w:pPr>
      <w:r>
        <w:t>Freight volatility: weekly swings can reach roughly ±20%; fuel shocks, congestion, weather, and seasonality amplify uncertainty.</w:t>
      </w:r>
    </w:p>
    <w:p>
      <w:pPr>
        <w:pStyle w:val="ListBullet"/>
        <w:spacing w:after="20"/>
      </w:pPr>
      <w:r>
        <w:t>Procurement overruns: the PRDs identify a potential 15–25% premium versus an optimal decision.</w:t>
      </w:r>
    </w:p>
    <w:p>
      <w:pPr>
        <w:pStyle w:val="Heading2"/>
      </w:pPr>
      <w:r>
        <w:t>2.2 Market Context</w:t>
      </w:r>
    </w:p>
    <w:p>
      <w:pPr>
        <w:spacing w:after="80"/>
      </w:pPr>
      <w:r>
        <w:t>The original PRD frames India as handling roughly 600 million tonnes of cargo annually through ports, with East Coast ports representing about 35% of this volume. Freight costs are described as approximately 8–12% of imported commodity prices, making timing and chartering decisions economically significant.</w:t>
      </w:r>
    </w:p>
    <w:p>
      <w:pPr>
        <w:spacing w:after="80"/>
      </w:pPr>
      <w:r>
        <w:t>Key stakeholders include bulk cargo importers (iron ore, coal, fertilizers, grains), ship charterers and freight brokers, port authorities, logistics companies, and supply-chain/procurement teams.</w:t>
      </w:r>
    </w:p>
    <w:p>
      <w:pPr>
        <w:pStyle w:val="Heading1"/>
      </w:pPr>
      <w:r>
        <w:t>3. Product Vision, Goals &amp; Success Metrics</w:t>
      </w:r>
    </w:p>
    <w:p>
      <w:pPr>
        <w:spacing w:after="80"/>
      </w:pPr>
      <w:r>
        <w:t>Vision: Enable data-driven freight procurement and vessel-chartering decisions on India's East Coast, reducing logistics cost and idle time while making recommendations transparent enough for operational teams to trust.</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7"/>
              </w:rPr>
              <w:t>Goal</w:t>
            </w:r>
          </w:p>
        </w:tc>
        <w:tc>
          <w:tcPr>
            <w:tcW w:type="dxa" w:w="5040"/>
            <w:vAlign w:val="center"/>
            <w:shd w:fill="D9EAF7"/>
          </w:tcPr>
          <w:p>
            <w:r/>
            <w:r>
              <w:rPr>
                <w:b/>
                <w:sz w:val="17"/>
              </w:rPr>
              <w:t>Target / Acceptance Signal</w:t>
            </w:r>
          </w:p>
        </w:tc>
      </w:tr>
      <w:tr>
        <w:tc>
          <w:tcPr>
            <w:tcW w:type="dxa" w:w="5040"/>
            <w:vAlign w:val="center"/>
          </w:tcPr>
          <w:p>
            <w:r/>
            <w:r>
              <w:rPr>
                <w:b w:val="0"/>
                <w:sz w:val="17"/>
              </w:rPr>
              <w:t>Forecast quality</w:t>
            </w:r>
          </w:p>
        </w:tc>
        <w:tc>
          <w:tcPr>
            <w:tcW w:type="dxa" w:w="5040"/>
            <w:vAlign w:val="center"/>
          </w:tcPr>
          <w:p>
            <w:r/>
            <w:r>
              <w:rPr>
                <w:b w:val="0"/>
                <w:sz w:val="17"/>
              </w:rPr>
              <w:t>MAPE &lt;15% on validated test/backtest data; directional accuracy also reported.</w:t>
            </w:r>
          </w:p>
        </w:tc>
      </w:tr>
      <w:tr>
        <w:tc>
          <w:tcPr>
            <w:tcW w:type="dxa" w:w="5040"/>
            <w:vAlign w:val="center"/>
          </w:tcPr>
          <w:p>
            <w:r/>
            <w:r>
              <w:rPr>
                <w:b w:val="0"/>
                <w:sz w:val="17"/>
              </w:rPr>
              <w:t>Forecast horizons</w:t>
            </w:r>
          </w:p>
        </w:tc>
        <w:tc>
          <w:tcPr>
            <w:tcW w:type="dxa" w:w="5040"/>
            <w:vAlign w:val="center"/>
          </w:tcPr>
          <w:p>
            <w:r/>
            <w:r>
              <w:rPr>
                <w:b w:val="0"/>
                <w:sz w:val="17"/>
              </w:rPr>
              <w:t>14, 30, and 90 days.</w:t>
            </w:r>
          </w:p>
        </w:tc>
      </w:tr>
      <w:tr>
        <w:tc>
          <w:tcPr>
            <w:tcW w:type="dxa" w:w="5040"/>
            <w:vAlign w:val="center"/>
          </w:tcPr>
          <w:p>
            <w:r/>
            <w:r>
              <w:rPr>
                <w:b w:val="0"/>
                <w:sz w:val="17"/>
              </w:rPr>
              <w:t>Procurement impact</w:t>
            </w:r>
          </w:p>
        </w:tc>
        <w:tc>
          <w:tcPr>
            <w:tcW w:type="dxa" w:w="5040"/>
            <w:vAlign w:val="center"/>
          </w:tcPr>
          <w:p>
            <w:r/>
            <w:r>
              <w:rPr>
                <w:b w:val="0"/>
                <w:sz w:val="17"/>
              </w:rPr>
              <w:t>Demonstrate quantified savings against a spot-market baseline; target around 10–15% in the PRD.</w:t>
            </w:r>
          </w:p>
        </w:tc>
      </w:tr>
      <w:tr>
        <w:tc>
          <w:tcPr>
            <w:tcW w:type="dxa" w:w="5040"/>
            <w:vAlign w:val="center"/>
          </w:tcPr>
          <w:p>
            <w:r/>
            <w:r>
              <w:rPr>
                <w:b w:val="0"/>
                <w:sz w:val="17"/>
              </w:rPr>
              <w:t>Vessel optimization</w:t>
            </w:r>
          </w:p>
        </w:tc>
        <w:tc>
          <w:tcPr>
            <w:tcW w:type="dxa" w:w="5040"/>
            <w:vAlign w:val="center"/>
          </w:tcPr>
          <w:p>
            <w:r/>
            <w:r>
              <w:rPr>
                <w:b w:val="0"/>
                <w:sz w:val="17"/>
              </w:rPr>
              <w:t>Rank feasible vessel classes with cost + port-fit rationale.</w:t>
            </w:r>
          </w:p>
        </w:tc>
      </w:tr>
      <w:tr>
        <w:tc>
          <w:tcPr>
            <w:tcW w:type="dxa" w:w="5040"/>
            <w:vAlign w:val="center"/>
          </w:tcPr>
          <w:p>
            <w:r/>
            <w:r>
              <w:rPr>
                <w:b w:val="0"/>
                <w:sz w:val="17"/>
              </w:rPr>
              <w:t>Idle optimization</w:t>
            </w:r>
          </w:p>
        </w:tc>
        <w:tc>
          <w:tcPr>
            <w:tcW w:type="dxa" w:w="5040"/>
            <w:vAlign w:val="center"/>
          </w:tcPr>
          <w:p>
            <w:r/>
            <w:r>
              <w:rPr>
                <w:b w:val="0"/>
                <w:sz w:val="17"/>
              </w:rPr>
              <w:t>Demonstrate measurable idle-time reduction in a multi-voyage scenario.</w:t>
            </w:r>
          </w:p>
        </w:tc>
      </w:tr>
      <w:tr>
        <w:tc>
          <w:tcPr>
            <w:tcW w:type="dxa" w:w="5040"/>
            <w:vAlign w:val="center"/>
          </w:tcPr>
          <w:p>
            <w:r/>
            <w:r>
              <w:rPr>
                <w:b w:val="0"/>
                <w:sz w:val="17"/>
              </w:rPr>
              <w:t>API performance</w:t>
            </w:r>
          </w:p>
        </w:tc>
        <w:tc>
          <w:tcPr>
            <w:tcW w:type="dxa" w:w="5040"/>
            <w:vAlign w:val="center"/>
          </w:tcPr>
          <w:p>
            <w:r/>
            <w:r>
              <w:rPr>
                <w:b w:val="0"/>
                <w:sz w:val="17"/>
              </w:rPr>
              <w:t>&lt;500 ms p95 for a single forecast; 100+ concurrent requests target.</w:t>
            </w:r>
          </w:p>
        </w:tc>
      </w:tr>
      <w:tr>
        <w:tc>
          <w:tcPr>
            <w:tcW w:type="dxa" w:w="5040"/>
            <w:vAlign w:val="center"/>
          </w:tcPr>
          <w:p>
            <w:r/>
            <w:r>
              <w:rPr>
                <w:b w:val="0"/>
                <w:sz w:val="17"/>
              </w:rPr>
              <w:t>Reliability</w:t>
            </w:r>
          </w:p>
        </w:tc>
        <w:tc>
          <w:tcPr>
            <w:tcW w:type="dxa" w:w="5040"/>
            <w:vAlign w:val="center"/>
          </w:tcPr>
          <w:p>
            <w:r/>
            <w:r>
              <w:rPr>
                <w:b w:val="0"/>
                <w:sz w:val="17"/>
              </w:rPr>
              <w:t>99.5% target service uptime for a production-style deployment.</w:t>
            </w:r>
          </w:p>
        </w:tc>
      </w:tr>
      <w:tr>
        <w:tc>
          <w:tcPr>
            <w:tcW w:type="dxa" w:w="5040"/>
            <w:vAlign w:val="center"/>
          </w:tcPr>
          <w:p>
            <w:r/>
            <w:r>
              <w:rPr>
                <w:b w:val="0"/>
                <w:sz w:val="17"/>
              </w:rPr>
              <w:t>Explainability</w:t>
            </w:r>
          </w:p>
        </w:tc>
        <w:tc>
          <w:tcPr>
            <w:tcW w:type="dxa" w:w="5040"/>
            <w:vAlign w:val="center"/>
          </w:tcPr>
          <w:p>
            <w:r/>
            <w:r>
              <w:rPr>
                <w:b w:val="0"/>
                <w:sz w:val="17"/>
              </w:rPr>
              <w:t>Top drivers, uncertainty, and scenario effects visible to users.</w:t>
            </w:r>
          </w:p>
        </w:tc>
      </w:tr>
    </w:tbl>
    <w:p>
      <w:pPr>
        <w:spacing w:after="40"/>
      </w:pPr>
    </w:p>
    <w:p>
      <w:pPr>
        <w:pStyle w:val="Heading1"/>
      </w:pPr>
      <w:r>
        <w:t>4. Users &amp; Core Use Cases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7"/>
              </w:rPr>
              <w:t>User</w:t>
            </w:r>
          </w:p>
        </w:tc>
        <w:tc>
          <w:tcPr>
            <w:tcW w:type="dxa" w:w="3360"/>
            <w:vAlign w:val="center"/>
            <w:shd w:fill="D9EAF7"/>
          </w:tcPr>
          <w:p>
            <w:r/>
            <w:r>
              <w:rPr>
                <w:b/>
                <w:sz w:val="17"/>
              </w:rPr>
              <w:t>Primary Need</w:t>
            </w:r>
          </w:p>
        </w:tc>
        <w:tc>
          <w:tcPr>
            <w:tcW w:type="dxa" w:w="3360"/>
            <w:vAlign w:val="center"/>
            <w:shd w:fill="D9EAF7"/>
          </w:tcPr>
          <w:p>
            <w:r/>
            <w:r>
              <w:rPr>
                <w:b/>
                <w:sz w:val="17"/>
              </w:rPr>
              <w:t>System Output</w:t>
            </w:r>
          </w:p>
        </w:tc>
      </w:tr>
      <w:tr>
        <w:tc>
          <w:tcPr>
            <w:tcW w:type="dxa" w:w="3360"/>
            <w:vAlign w:val="center"/>
          </w:tcPr>
          <w:p>
            <w:r/>
            <w:r>
              <w:rPr>
                <w:b w:val="0"/>
                <w:sz w:val="17"/>
              </w:rPr>
              <w:t>Bulk-cargo procurement team</w:t>
            </w:r>
          </w:p>
        </w:tc>
        <w:tc>
          <w:tcPr>
            <w:tcW w:type="dxa" w:w="3360"/>
            <w:vAlign w:val="center"/>
          </w:tcPr>
          <w:p>
            <w:r/>
            <w:r>
              <w:rPr>
                <w:b w:val="0"/>
                <w:sz w:val="17"/>
              </w:rPr>
              <w:t>Choose when/how much to procure.</w:t>
            </w:r>
          </w:p>
        </w:tc>
        <w:tc>
          <w:tcPr>
            <w:tcW w:type="dxa" w:w="3360"/>
            <w:vAlign w:val="center"/>
          </w:tcPr>
          <w:p>
            <w:r/>
            <w:r>
              <w:rPr>
                <w:b w:val="0"/>
                <w:sz w:val="17"/>
              </w:rPr>
              <w:t>Forecast + optimal entry window + expected savings.</w:t>
            </w:r>
          </w:p>
        </w:tc>
      </w:tr>
      <w:tr>
        <w:tc>
          <w:tcPr>
            <w:tcW w:type="dxa" w:w="3360"/>
            <w:vAlign w:val="center"/>
          </w:tcPr>
          <w:p>
            <w:r/>
            <w:r>
              <w:rPr>
                <w:b w:val="0"/>
                <w:sz w:val="17"/>
              </w:rPr>
              <w:t>Ship charterer / broker</w:t>
            </w:r>
          </w:p>
        </w:tc>
        <w:tc>
          <w:tcPr>
            <w:tcW w:type="dxa" w:w="3360"/>
            <w:vAlign w:val="center"/>
          </w:tcPr>
          <w:p>
            <w:r/>
            <w:r>
              <w:rPr>
                <w:b w:val="0"/>
                <w:sz w:val="17"/>
              </w:rPr>
              <w:t>Choose vessel and contract strategy.</w:t>
            </w:r>
          </w:p>
        </w:tc>
        <w:tc>
          <w:tcPr>
            <w:tcW w:type="dxa" w:w="3360"/>
            <w:vAlign w:val="center"/>
          </w:tcPr>
          <w:p>
            <w:r/>
            <w:r>
              <w:rPr>
                <w:b w:val="0"/>
                <w:sz w:val="17"/>
              </w:rPr>
              <w:t>Vessel ranking + route cost + multi-voyage plan.</w:t>
            </w:r>
          </w:p>
        </w:tc>
      </w:tr>
      <w:tr>
        <w:tc>
          <w:tcPr>
            <w:tcW w:type="dxa" w:w="3360"/>
            <w:vAlign w:val="center"/>
          </w:tcPr>
          <w:p>
            <w:r/>
            <w:r>
              <w:rPr>
                <w:b w:val="0"/>
                <w:sz w:val="17"/>
              </w:rPr>
              <w:t>Logistics planner</w:t>
            </w:r>
          </w:p>
        </w:tc>
        <w:tc>
          <w:tcPr>
            <w:tcW w:type="dxa" w:w="3360"/>
            <w:vAlign w:val="center"/>
          </w:tcPr>
          <w:p>
            <w:r/>
            <w:r>
              <w:rPr>
                <w:b w:val="0"/>
                <w:sz w:val="17"/>
              </w:rPr>
              <w:t>Coordinate origins, destinations, and timing.</w:t>
            </w:r>
          </w:p>
        </w:tc>
        <w:tc>
          <w:tcPr>
            <w:tcW w:type="dxa" w:w="3360"/>
            <w:vAlign w:val="center"/>
          </w:tcPr>
          <w:p>
            <w:r/>
            <w:r>
              <w:rPr>
                <w:b w:val="0"/>
                <w:sz w:val="17"/>
              </w:rPr>
              <w:t>Voyage schedule + idle forecast + port feasibility.</w:t>
            </w:r>
          </w:p>
        </w:tc>
      </w:tr>
      <w:tr>
        <w:tc>
          <w:tcPr>
            <w:tcW w:type="dxa" w:w="3360"/>
            <w:vAlign w:val="center"/>
          </w:tcPr>
          <w:p>
            <w:r/>
            <w:r>
              <w:rPr>
                <w:b w:val="0"/>
                <w:sz w:val="17"/>
              </w:rPr>
              <w:t>Supply-chain manager</w:t>
            </w:r>
          </w:p>
        </w:tc>
        <w:tc>
          <w:tcPr>
            <w:tcW w:type="dxa" w:w="3360"/>
            <w:vAlign w:val="center"/>
          </w:tcPr>
          <w:p>
            <w:r/>
            <w:r>
              <w:rPr>
                <w:b w:val="0"/>
                <w:sz w:val="17"/>
              </w:rPr>
              <w:t>Assess risk before committing.</w:t>
            </w:r>
          </w:p>
        </w:tc>
        <w:tc>
          <w:tcPr>
            <w:tcW w:type="dxa" w:w="3360"/>
            <w:vAlign w:val="center"/>
          </w:tcPr>
          <w:p>
            <w:r/>
            <w:r>
              <w:rPr>
                <w:b w:val="0"/>
                <w:sz w:val="17"/>
              </w:rPr>
              <w:t>Confidence intervals + sensitivity analysis + anomalies.</w:t>
            </w:r>
          </w:p>
        </w:tc>
      </w:tr>
      <w:tr>
        <w:tc>
          <w:tcPr>
            <w:tcW w:type="dxa" w:w="3360"/>
            <w:vAlign w:val="center"/>
          </w:tcPr>
          <w:p>
            <w:r/>
            <w:r>
              <w:rPr>
                <w:b w:val="0"/>
                <w:sz w:val="17"/>
              </w:rPr>
              <w:t>Judge / evaluator</w:t>
            </w:r>
          </w:p>
        </w:tc>
        <w:tc>
          <w:tcPr>
            <w:tcW w:type="dxa" w:w="3360"/>
            <w:vAlign w:val="center"/>
          </w:tcPr>
          <w:p>
            <w:r/>
            <w:r>
              <w:rPr>
                <w:b w:val="0"/>
                <w:sz w:val="17"/>
              </w:rPr>
              <w:t>Verify technical feasibility and impact.</w:t>
            </w:r>
          </w:p>
        </w:tc>
        <w:tc>
          <w:tcPr>
            <w:tcW w:type="dxa" w:w="3360"/>
            <w:vAlign w:val="center"/>
          </w:tcPr>
          <w:p>
            <w:r/>
            <w:r>
              <w:rPr>
                <w:b w:val="0"/>
                <w:sz w:val="17"/>
              </w:rPr>
              <w:t>Backtests, explainability, architecture, live demo.</w:t>
            </w:r>
          </w:p>
        </w:tc>
      </w:tr>
    </w:tbl>
    <w:p>
      <w:pPr>
        <w:spacing w:after="40"/>
      </w:pPr>
    </w:p>
    <w:p>
      <w:pPr>
        <w:pStyle w:val="Heading2"/>
      </w:pPr>
      <w:r>
        <w:t>Core Use Cases</w:t>
      </w:r>
    </w:p>
    <w:p>
      <w:pPr>
        <w:pStyle w:val="ListBullet"/>
        <w:spacing w:after="20"/>
      </w:pPr>
      <w:r>
        <w:t>Forecast freight for a selected origin-destination route, commodity, volume, and horizon.</w:t>
      </w:r>
    </w:p>
    <w:p>
      <w:pPr>
        <w:pStyle w:val="ListBullet"/>
        <w:spacing w:after="20"/>
      </w:pPr>
      <w:r>
        <w:t>Identify the best procurement window from the forecast and confidence interval.</w:t>
      </w:r>
    </w:p>
    <w:p>
      <w:pPr>
        <w:pStyle w:val="ListBullet"/>
        <w:spacing w:after="20"/>
      </w:pPr>
      <w:r>
        <w:t>Select the most suitable vessel class for volume, port infrastructure, and schedule.</w:t>
      </w:r>
    </w:p>
    <w:p>
      <w:pPr>
        <w:pStyle w:val="ListBullet"/>
        <w:spacing w:after="20"/>
      </w:pPr>
      <w:r>
        <w:t>Build a coordinated multi-voyage contract plan and compare it with spot contracting.</w:t>
      </w:r>
    </w:p>
    <w:p>
      <w:pPr>
        <w:pStyle w:val="ListBullet"/>
        <w:spacing w:after="20"/>
      </w:pPr>
      <w:r>
        <w:t>Test market shocks such as fuel +5%/+10%, congestion surge, monsoon disruption, or deadline changes.</w:t>
      </w:r>
    </w:p>
    <w:p>
      <w:pPr>
        <w:pStyle w:val="ListBullet"/>
        <w:spacing w:after="20"/>
      </w:pPr>
      <w:r>
        <w:t>Inspect historical rates, forecast drivers, model components, and backtest performance.</w:t>
      </w:r>
    </w:p>
    <w:p>
      <w:pPr>
        <w:pStyle w:val="Heading1"/>
      </w:pPr>
      <w:r>
        <w:t>5. Solution Architecture — Four Pillars</w:t>
      </w:r>
    </w:p>
    <w:p>
      <w:pPr>
        <w:pStyle w:val="Heading2"/>
      </w:pPr>
      <w:r>
        <w:t>5.1 Pillar A — Optimal Market Entry Timing</w:t>
      </w:r>
    </w:p>
    <w:p>
      <w:pPr>
        <w:spacing w:after="80"/>
      </w:pPr>
      <w:r>
        <w:t>The forecasting layer blends Prophet, LSTM, and XGBoost. The original ensemble is 0.25 Prophet + 0.40 LSTM + 0.35 XGBoost, with weights tuned through time-series cross-validation and potentially adjusted per route/commodity.</w:t>
      </w:r>
    </w:p>
    <w:p>
      <w:pPr>
        <w:pStyle w:val="ListBullet"/>
        <w:spacing w:after="20"/>
      </w:pPr>
      <w:r>
        <w:t>Prophet: trend, seasonality, holidays, interpretable baseline.</w:t>
      </w:r>
    </w:p>
    <w:p>
      <w:pPr>
        <w:pStyle w:val="ListBullet"/>
        <w:spacing w:after="20"/>
      </w:pPr>
      <w:r>
        <w:t>LSTM: nonlinear temporal dependencies using a 30-day lookback.</w:t>
      </w:r>
    </w:p>
    <w:p>
      <w:pPr>
        <w:pStyle w:val="ListBullet"/>
        <w:spacing w:after="20"/>
      </w:pPr>
      <w:r>
        <w:t>XGBoost: lagged effects, thresholds, feature interactions, and interpretable importance.</w:t>
      </w:r>
    </w:p>
    <w:p>
      <w:pPr>
        <w:pStyle w:val="ListBullet"/>
        <w:spacing w:after="20"/>
      </w:pPr>
      <w:r>
        <w:t>Output: predicted freight rate, 95% uncertainty interval, directional movement, and recommended action.</w:t>
      </w:r>
    </w:p>
    <w:p>
      <w:pPr>
        <w:pStyle w:val="Heading2"/>
      </w:pPr>
      <w:r>
        <w:t>5.2 Pillar B — Vessel Type Optimization</w:t>
      </w:r>
    </w:p>
    <w:p>
      <w:pPr>
        <w:spacing w:after="80"/>
      </w:pPr>
      <w:r>
        <w:t>An XGBoost multi-class classifier/ranking model evaluates Handysize, Supramax, Panamax, and Capesize candidates using route, commodity, volume, port compatibility, draft margin, transit time, freight, port fees, insurance, utilization, and schedule compliance.</w:t>
      </w:r>
    </w:p>
    <w:p>
      <w:pPr>
        <w:pStyle w:val="ListBullet"/>
        <w:spacing w:after="20"/>
      </w:pPr>
      <w:r>
        <w:t>Infeasible vessels are filtered before ranking; e.g., a vessel exceeding a selected port's draft/LOA constraints should not be recommended.</w:t>
      </w:r>
    </w:p>
    <w:p>
      <w:pPr>
        <w:pStyle w:val="ListBullet"/>
        <w:spacing w:after="20"/>
      </w:pPr>
      <w:r>
        <w:t>Output includes ranked vessel types and a cost breakdown rather than a bare classification.</w:t>
      </w:r>
    </w:p>
    <w:p>
      <w:pPr>
        <w:pStyle w:val="Heading2"/>
      </w:pPr>
      <w:r>
        <w:t>5.3 Pillar C — Idle Scenario &amp; Multi-Voyage Optimization</w:t>
      </w:r>
    </w:p>
    <w:p>
      <w:pPr>
        <w:spacing w:after="80"/>
      </w:pPr>
      <w:r>
        <w:t>The optimizer shifts the decision from isolated spot charters to coordinated multi-voyage planning. A dynamic-programming prototype is the primary feasibility path; reinforcement learning may be explored only if time and data permit.</w:t>
      </w:r>
    </w:p>
    <w:p>
      <w:pPr>
        <w:pStyle w:val="ListBullet"/>
        <w:spacing w:after="20"/>
      </w:pPr>
      <w:r>
        <w:t>Inputs: procurement plan, vessel inventory/availability, voyage requirements, timing constraints.</w:t>
      </w:r>
    </w:p>
    <w:p>
      <w:pPr>
        <w:pStyle w:val="ListBullet"/>
        <w:spacing w:after="20"/>
      </w:pPr>
      <w:r>
        <w:t>Outputs: bundled voyage sequence, contract windows, estimated idle periods, and cost/savings versus spot.</w:t>
      </w:r>
    </w:p>
    <w:p>
      <w:pPr>
        <w:pStyle w:val="ListBullet"/>
        <w:spacing w:after="20"/>
      </w:pPr>
      <w:r>
        <w:t>Illustrative PRD scenario: coordinate Mozambique (Weeks 1–6), Russia (Weeks 7–12), Australia (Weeks 13–18), reducing idle time from 35% to 8% and illustrating $125K savings on a $725K plan.</w:t>
      </w:r>
    </w:p>
    <w:p>
      <w:pPr>
        <w:pStyle w:val="Heading2"/>
      </w:pPr>
      <w:r>
        <w:t>5.4 Pillar D — Risk Mitigation &amp; Sensitivity Analysis</w:t>
      </w:r>
    </w:p>
    <w:p>
      <w:pPr>
        <w:pStyle w:val="ListBullet"/>
        <w:spacing w:after="20"/>
      </w:pPr>
      <w:r>
        <w:t>Forecast uncertainty: Prophet confidence intervals; LSTM MC-dropout uncertainty; XGBoost explanations/SHAP-based diagnostics.</w:t>
      </w:r>
    </w:p>
    <w:p>
      <w:pPr>
        <w:pStyle w:val="ListBullet"/>
        <w:spacing w:after="20"/>
      </w:pPr>
      <w:r>
        <w:t>Anomaly detection for fuel spikes, congestion surges, and seasonal regime shifts.</w:t>
      </w:r>
    </w:p>
    <w:p>
      <w:pPr>
        <w:pStyle w:val="ListBullet"/>
        <w:spacing w:after="20"/>
      </w:pPr>
      <w:r>
        <w:t>Interactive what-if controls: fuel price, congestion, commodity price, monsoon/seasonality, deadline.</w:t>
      </w:r>
    </w:p>
    <w:p>
      <w:pPr>
        <w:pStyle w:val="ListBullet"/>
        <w:spacing w:after="20"/>
      </w:pPr>
      <w:r>
        <w:t>Recommendations update when scenario variables change.</w:t>
      </w:r>
    </w:p>
    <w:p>
      <w:pPr>
        <w:pStyle w:val="Heading1"/>
      </w:pPr>
      <w:r>
        <w:t>6. Geographic, Port &amp; Vessel Domain Model</w:t>
      </w:r>
    </w:p>
    <w:p>
      <w:pPr>
        <w:pStyle w:val="Heading2"/>
      </w:pPr>
      <w:r>
        <w:t>6.1 East Coast Port Constraints</w:t>
      </w:r>
    </w:p>
    <w:tbl>
      <w:tblPr>
        <w:tblStyle w:val="TableGrid"/>
        <w:tblW w:type="auto" w:w="0"/>
        <w:jc w:val="center"/>
        <w:tblLook w:firstColumn="1" w:firstRow="1" w:lastColumn="0" w:lastRow="0" w:noHBand="0" w:noVBand="1" w:val="04A0"/>
      </w:tblPr>
      <w:tblGrid>
        <w:gridCol w:w="1440"/>
        <w:gridCol w:w="1440"/>
        <w:gridCol w:w="1440"/>
        <w:gridCol w:w="1440"/>
        <w:gridCol w:w="1440"/>
        <w:gridCol w:w="1440"/>
        <w:gridCol w:w="1440"/>
      </w:tblGrid>
      <w:tr>
        <w:tc>
          <w:tcPr>
            <w:tcW w:type="dxa" w:w="1440"/>
            <w:vAlign w:val="center"/>
            <w:shd w:fill="D9EAF7"/>
          </w:tcPr>
          <w:p>
            <w:r/>
            <w:r>
              <w:rPr>
                <w:b/>
                <w:sz w:val="17"/>
              </w:rPr>
              <w:t>Port</w:t>
            </w:r>
          </w:p>
        </w:tc>
        <w:tc>
          <w:tcPr>
            <w:tcW w:type="dxa" w:w="1440"/>
            <w:vAlign w:val="center"/>
            <w:shd w:fill="D9EAF7"/>
          </w:tcPr>
          <w:p>
            <w:r/>
            <w:r>
              <w:rPr>
                <w:b/>
                <w:sz w:val="17"/>
              </w:rPr>
              <w:t>Draft (m)</w:t>
            </w:r>
          </w:p>
        </w:tc>
        <w:tc>
          <w:tcPr>
            <w:tcW w:type="dxa" w:w="1440"/>
            <w:vAlign w:val="center"/>
            <w:shd w:fill="D9EAF7"/>
          </w:tcPr>
          <w:p>
            <w:r/>
            <w:r>
              <w:rPr>
                <w:b/>
                <w:sz w:val="17"/>
              </w:rPr>
              <w:t>Max LOA (m)</w:t>
            </w:r>
          </w:p>
        </w:tc>
        <w:tc>
          <w:tcPr>
            <w:tcW w:type="dxa" w:w="1440"/>
            <w:vAlign w:val="center"/>
            <w:shd w:fill="D9EAF7"/>
          </w:tcPr>
          <w:p>
            <w:r/>
            <w:r>
              <w:rPr>
                <w:b/>
                <w:sz w:val="17"/>
              </w:rPr>
              <w:t>Beam (m)</w:t>
            </w:r>
          </w:p>
        </w:tc>
        <w:tc>
          <w:tcPr>
            <w:tcW w:type="dxa" w:w="1440"/>
            <w:vAlign w:val="center"/>
            <w:shd w:fill="D9EAF7"/>
          </w:tcPr>
          <w:p>
            <w:r/>
            <w:r>
              <w:rPr>
                <w:b/>
                <w:sz w:val="17"/>
              </w:rPr>
              <w:t>Cargo Cap</w:t>
            </w:r>
          </w:p>
        </w:tc>
        <w:tc>
          <w:tcPr>
            <w:tcW w:type="dxa" w:w="1440"/>
            <w:vAlign w:val="center"/>
            <w:shd w:fill="D9EAF7"/>
          </w:tcPr>
          <w:p>
            <w:r/>
            <w:r>
              <w:rPr>
                <w:b/>
                <w:sz w:val="17"/>
              </w:rPr>
              <w:t>Main Commodities</w:t>
            </w:r>
          </w:p>
        </w:tc>
        <w:tc>
          <w:tcPr>
            <w:tcW w:type="dxa" w:w="1440"/>
            <w:vAlign w:val="center"/>
            <w:shd w:fill="D9EAF7"/>
          </w:tcPr>
          <w:p>
            <w:r/>
            <w:r>
              <w:rPr>
                <w:b/>
                <w:sz w:val="17"/>
              </w:rPr>
              <w:t>Suitable Vessel Types</w:t>
            </w:r>
          </w:p>
        </w:tc>
      </w:tr>
      <w:tr>
        <w:tc>
          <w:tcPr>
            <w:tcW w:type="dxa" w:w="1440"/>
            <w:vAlign w:val="center"/>
          </w:tcPr>
          <w:p>
            <w:r/>
            <w:r>
              <w:rPr>
                <w:b w:val="0"/>
                <w:sz w:val="17"/>
              </w:rPr>
              <w:t>Paradip</w:t>
            </w:r>
          </w:p>
        </w:tc>
        <w:tc>
          <w:tcPr>
            <w:tcW w:type="dxa" w:w="1440"/>
            <w:vAlign w:val="center"/>
          </w:tcPr>
          <w:p>
            <w:r/>
            <w:r>
              <w:rPr>
                <w:b w:val="0"/>
                <w:sz w:val="17"/>
              </w:rPr>
              <w:t>13.0</w:t>
            </w:r>
          </w:p>
        </w:tc>
        <w:tc>
          <w:tcPr>
            <w:tcW w:type="dxa" w:w="1440"/>
            <w:vAlign w:val="center"/>
          </w:tcPr>
          <w:p>
            <w:r/>
            <w:r>
              <w:rPr>
                <w:b w:val="0"/>
                <w:sz w:val="17"/>
              </w:rPr>
              <w:t>240</w:t>
            </w:r>
          </w:p>
        </w:tc>
        <w:tc>
          <w:tcPr>
            <w:tcW w:type="dxa" w:w="1440"/>
            <w:vAlign w:val="center"/>
          </w:tcPr>
          <w:p>
            <w:r/>
            <w:r>
              <w:rPr>
                <w:b w:val="0"/>
                <w:sz w:val="17"/>
              </w:rPr>
              <w:t>32.2</w:t>
            </w:r>
          </w:p>
        </w:tc>
        <w:tc>
          <w:tcPr>
            <w:tcW w:type="dxa" w:w="1440"/>
            <w:vAlign w:val="center"/>
          </w:tcPr>
          <w:p>
            <w:r/>
            <w:r>
              <w:rPr>
                <w:b w:val="0"/>
                <w:sz w:val="17"/>
              </w:rPr>
              <w:t>140K+ t</w:t>
            </w:r>
          </w:p>
        </w:tc>
        <w:tc>
          <w:tcPr>
            <w:tcW w:type="dxa" w:w="1440"/>
            <w:vAlign w:val="center"/>
          </w:tcPr>
          <w:p>
            <w:r/>
            <w:r>
              <w:rPr>
                <w:b w:val="0"/>
                <w:sz w:val="17"/>
              </w:rPr>
              <w:t>Iron ore, coal</w:t>
            </w:r>
          </w:p>
        </w:tc>
        <w:tc>
          <w:tcPr>
            <w:tcW w:type="dxa" w:w="1440"/>
            <w:vAlign w:val="center"/>
          </w:tcPr>
          <w:p>
            <w:r/>
            <w:r>
              <w:rPr>
                <w:b w:val="0"/>
                <w:sz w:val="17"/>
              </w:rPr>
              <w:t>Capesize, Panamax</w:t>
            </w:r>
          </w:p>
        </w:tc>
      </w:tr>
      <w:tr>
        <w:tc>
          <w:tcPr>
            <w:tcW w:type="dxa" w:w="1440"/>
            <w:vAlign w:val="center"/>
          </w:tcPr>
          <w:p>
            <w:r/>
            <w:r>
              <w:rPr>
                <w:b w:val="0"/>
                <w:sz w:val="17"/>
              </w:rPr>
              <w:t>Vizag</w:t>
            </w:r>
          </w:p>
        </w:tc>
        <w:tc>
          <w:tcPr>
            <w:tcW w:type="dxa" w:w="1440"/>
            <w:vAlign w:val="center"/>
          </w:tcPr>
          <w:p>
            <w:r/>
            <w:r>
              <w:rPr>
                <w:b w:val="0"/>
                <w:sz w:val="17"/>
              </w:rPr>
              <w:t>12.5</w:t>
            </w:r>
          </w:p>
        </w:tc>
        <w:tc>
          <w:tcPr>
            <w:tcW w:type="dxa" w:w="1440"/>
            <w:vAlign w:val="center"/>
          </w:tcPr>
          <w:p>
            <w:r/>
            <w:r>
              <w:rPr>
                <w:b w:val="0"/>
                <w:sz w:val="17"/>
              </w:rPr>
              <w:t>238</w:t>
            </w:r>
          </w:p>
        </w:tc>
        <w:tc>
          <w:tcPr>
            <w:tcW w:type="dxa" w:w="1440"/>
            <w:vAlign w:val="center"/>
          </w:tcPr>
          <w:p>
            <w:r/>
            <w:r>
              <w:rPr>
                <w:b w:val="0"/>
                <w:sz w:val="17"/>
              </w:rPr>
              <w:t>32.2</w:t>
            </w:r>
          </w:p>
        </w:tc>
        <w:tc>
          <w:tcPr>
            <w:tcW w:type="dxa" w:w="1440"/>
            <w:vAlign w:val="center"/>
          </w:tcPr>
          <w:p>
            <w:r/>
            <w:r>
              <w:rPr>
                <w:b w:val="0"/>
                <w:sz w:val="17"/>
              </w:rPr>
              <w:t>120K t</w:t>
            </w:r>
          </w:p>
        </w:tc>
        <w:tc>
          <w:tcPr>
            <w:tcW w:type="dxa" w:w="1440"/>
            <w:vAlign w:val="center"/>
          </w:tcPr>
          <w:p>
            <w:r/>
            <w:r>
              <w:rPr>
                <w:b w:val="0"/>
                <w:sz w:val="17"/>
              </w:rPr>
              <w:t>Iron ore, manganese</w:t>
            </w:r>
          </w:p>
        </w:tc>
        <w:tc>
          <w:tcPr>
            <w:tcW w:type="dxa" w:w="1440"/>
            <w:vAlign w:val="center"/>
          </w:tcPr>
          <w:p>
            <w:r/>
            <w:r>
              <w:rPr>
                <w:b w:val="0"/>
                <w:sz w:val="17"/>
              </w:rPr>
              <w:t>Panamax, Supramax</w:t>
            </w:r>
          </w:p>
        </w:tc>
      </w:tr>
      <w:tr>
        <w:tc>
          <w:tcPr>
            <w:tcW w:type="dxa" w:w="1440"/>
            <w:vAlign w:val="center"/>
          </w:tcPr>
          <w:p>
            <w:r/>
            <w:r>
              <w:rPr>
                <w:b w:val="0"/>
                <w:sz w:val="17"/>
              </w:rPr>
              <w:t>Gangavaram</w:t>
            </w:r>
          </w:p>
        </w:tc>
        <w:tc>
          <w:tcPr>
            <w:tcW w:type="dxa" w:w="1440"/>
            <w:vAlign w:val="center"/>
          </w:tcPr>
          <w:p>
            <w:r/>
            <w:r>
              <w:rPr>
                <w:b w:val="0"/>
                <w:sz w:val="17"/>
              </w:rPr>
              <w:t>12.0</w:t>
            </w:r>
          </w:p>
        </w:tc>
        <w:tc>
          <w:tcPr>
            <w:tcW w:type="dxa" w:w="1440"/>
            <w:vAlign w:val="center"/>
          </w:tcPr>
          <w:p>
            <w:r/>
            <w:r>
              <w:rPr>
                <w:b w:val="0"/>
                <w:sz w:val="17"/>
              </w:rPr>
              <w:t>200</w:t>
            </w:r>
          </w:p>
        </w:tc>
        <w:tc>
          <w:tcPr>
            <w:tcW w:type="dxa" w:w="1440"/>
            <w:vAlign w:val="center"/>
          </w:tcPr>
          <w:p>
            <w:r/>
            <w:r>
              <w:rPr>
                <w:b w:val="0"/>
                <w:sz w:val="17"/>
              </w:rPr>
              <w:t>32.0</w:t>
            </w:r>
          </w:p>
        </w:tc>
        <w:tc>
          <w:tcPr>
            <w:tcW w:type="dxa" w:w="1440"/>
            <w:vAlign w:val="center"/>
          </w:tcPr>
          <w:p>
            <w:r/>
            <w:r>
              <w:rPr>
                <w:b w:val="0"/>
                <w:sz w:val="17"/>
              </w:rPr>
              <w:t>80K t</w:t>
            </w:r>
          </w:p>
        </w:tc>
        <w:tc>
          <w:tcPr>
            <w:tcW w:type="dxa" w:w="1440"/>
            <w:vAlign w:val="center"/>
          </w:tcPr>
          <w:p>
            <w:r/>
            <w:r>
              <w:rPr>
                <w:b w:val="0"/>
                <w:sz w:val="17"/>
              </w:rPr>
              <w:t>Coal, lignite</w:t>
            </w:r>
          </w:p>
        </w:tc>
        <w:tc>
          <w:tcPr>
            <w:tcW w:type="dxa" w:w="1440"/>
            <w:vAlign w:val="center"/>
          </w:tcPr>
          <w:p>
            <w:r/>
            <w:r>
              <w:rPr>
                <w:b w:val="0"/>
                <w:sz w:val="17"/>
              </w:rPr>
              <w:t>Supramax, Handysize</w:t>
            </w:r>
          </w:p>
        </w:tc>
      </w:tr>
      <w:tr>
        <w:tc>
          <w:tcPr>
            <w:tcW w:type="dxa" w:w="1440"/>
            <w:vAlign w:val="center"/>
          </w:tcPr>
          <w:p>
            <w:r/>
            <w:r>
              <w:rPr>
                <w:b w:val="0"/>
                <w:sz w:val="17"/>
              </w:rPr>
              <w:t>Gopalpur</w:t>
            </w:r>
          </w:p>
        </w:tc>
        <w:tc>
          <w:tcPr>
            <w:tcW w:type="dxa" w:w="1440"/>
            <w:vAlign w:val="center"/>
          </w:tcPr>
          <w:p>
            <w:r/>
            <w:r>
              <w:rPr>
                <w:b w:val="0"/>
                <w:sz w:val="17"/>
              </w:rPr>
              <w:t>10.5</w:t>
            </w:r>
          </w:p>
        </w:tc>
        <w:tc>
          <w:tcPr>
            <w:tcW w:type="dxa" w:w="1440"/>
            <w:vAlign w:val="center"/>
          </w:tcPr>
          <w:p>
            <w:r/>
            <w:r>
              <w:rPr>
                <w:b w:val="0"/>
                <w:sz w:val="17"/>
              </w:rPr>
              <w:t>180</w:t>
            </w:r>
          </w:p>
        </w:tc>
        <w:tc>
          <w:tcPr>
            <w:tcW w:type="dxa" w:w="1440"/>
            <w:vAlign w:val="center"/>
          </w:tcPr>
          <w:p>
            <w:r/>
            <w:r>
              <w:rPr>
                <w:b w:val="0"/>
                <w:sz w:val="17"/>
              </w:rPr>
              <w:t>30.0</w:t>
            </w:r>
          </w:p>
        </w:tc>
        <w:tc>
          <w:tcPr>
            <w:tcW w:type="dxa" w:w="1440"/>
            <w:vAlign w:val="center"/>
          </w:tcPr>
          <w:p>
            <w:r/>
            <w:r>
              <w:rPr>
                <w:b w:val="0"/>
                <w:sz w:val="17"/>
              </w:rPr>
              <w:t>60K t</w:t>
            </w:r>
          </w:p>
        </w:tc>
        <w:tc>
          <w:tcPr>
            <w:tcW w:type="dxa" w:w="1440"/>
            <w:vAlign w:val="center"/>
          </w:tcPr>
          <w:p>
            <w:r/>
            <w:r>
              <w:rPr>
                <w:b w:val="0"/>
                <w:sz w:val="17"/>
              </w:rPr>
              <w:t>Coal, pellets</w:t>
            </w:r>
          </w:p>
        </w:tc>
        <w:tc>
          <w:tcPr>
            <w:tcW w:type="dxa" w:w="1440"/>
            <w:vAlign w:val="center"/>
          </w:tcPr>
          <w:p>
            <w:r/>
            <w:r>
              <w:rPr>
                <w:b w:val="0"/>
                <w:sz w:val="17"/>
              </w:rPr>
              <w:t>Handysize, Supramax</w:t>
            </w:r>
          </w:p>
        </w:tc>
      </w:tr>
      <w:tr>
        <w:tc>
          <w:tcPr>
            <w:tcW w:type="dxa" w:w="1440"/>
            <w:vAlign w:val="center"/>
          </w:tcPr>
          <w:p>
            <w:r/>
            <w:r>
              <w:rPr>
                <w:b w:val="0"/>
                <w:sz w:val="17"/>
              </w:rPr>
              <w:t>Dhamra</w:t>
            </w:r>
          </w:p>
        </w:tc>
        <w:tc>
          <w:tcPr>
            <w:tcW w:type="dxa" w:w="1440"/>
            <w:vAlign w:val="center"/>
          </w:tcPr>
          <w:p>
            <w:r/>
            <w:r>
              <w:rPr>
                <w:b w:val="0"/>
                <w:sz w:val="17"/>
              </w:rPr>
              <w:t>11.0</w:t>
            </w:r>
          </w:p>
        </w:tc>
        <w:tc>
          <w:tcPr>
            <w:tcW w:type="dxa" w:w="1440"/>
            <w:vAlign w:val="center"/>
          </w:tcPr>
          <w:p>
            <w:r/>
            <w:r>
              <w:rPr>
                <w:b w:val="0"/>
                <w:sz w:val="17"/>
              </w:rPr>
              <w:t>210</w:t>
            </w:r>
          </w:p>
        </w:tc>
        <w:tc>
          <w:tcPr>
            <w:tcW w:type="dxa" w:w="1440"/>
            <w:vAlign w:val="center"/>
          </w:tcPr>
          <w:p>
            <w:r/>
            <w:r>
              <w:rPr>
                <w:b w:val="0"/>
                <w:sz w:val="17"/>
              </w:rPr>
              <w:t>32.0</w:t>
            </w:r>
          </w:p>
        </w:tc>
        <w:tc>
          <w:tcPr>
            <w:tcW w:type="dxa" w:w="1440"/>
            <w:vAlign w:val="center"/>
          </w:tcPr>
          <w:p>
            <w:r/>
            <w:r>
              <w:rPr>
                <w:b w:val="0"/>
                <w:sz w:val="17"/>
              </w:rPr>
              <w:t>100K t</w:t>
            </w:r>
          </w:p>
        </w:tc>
        <w:tc>
          <w:tcPr>
            <w:tcW w:type="dxa" w:w="1440"/>
            <w:vAlign w:val="center"/>
          </w:tcPr>
          <w:p>
            <w:r/>
            <w:r>
              <w:rPr>
                <w:b w:val="0"/>
                <w:sz w:val="17"/>
              </w:rPr>
              <w:t>Iron ore, coal</w:t>
            </w:r>
          </w:p>
        </w:tc>
        <w:tc>
          <w:tcPr>
            <w:tcW w:type="dxa" w:w="1440"/>
            <w:vAlign w:val="center"/>
          </w:tcPr>
          <w:p>
            <w:r/>
            <w:r>
              <w:rPr>
                <w:b w:val="0"/>
                <w:sz w:val="17"/>
              </w:rPr>
              <w:t>Panamax, Supramax</w:t>
            </w:r>
          </w:p>
        </w:tc>
      </w:tr>
      <w:tr>
        <w:tc>
          <w:tcPr>
            <w:tcW w:type="dxa" w:w="1440"/>
            <w:vAlign w:val="center"/>
          </w:tcPr>
          <w:p>
            <w:r/>
            <w:r>
              <w:rPr>
                <w:b w:val="0"/>
                <w:sz w:val="17"/>
              </w:rPr>
              <w:t>Sagar-Sandheads</w:t>
            </w:r>
          </w:p>
        </w:tc>
        <w:tc>
          <w:tcPr>
            <w:tcW w:type="dxa" w:w="1440"/>
            <w:vAlign w:val="center"/>
          </w:tcPr>
          <w:p>
            <w:r/>
            <w:r>
              <w:rPr>
                <w:b w:val="0"/>
                <w:sz w:val="17"/>
              </w:rPr>
              <w:t>9.5</w:t>
            </w:r>
          </w:p>
        </w:tc>
        <w:tc>
          <w:tcPr>
            <w:tcW w:type="dxa" w:w="1440"/>
            <w:vAlign w:val="center"/>
          </w:tcPr>
          <w:p>
            <w:r/>
            <w:r>
              <w:rPr>
                <w:b w:val="0"/>
                <w:sz w:val="17"/>
              </w:rPr>
              <w:t>170</w:t>
            </w:r>
          </w:p>
        </w:tc>
        <w:tc>
          <w:tcPr>
            <w:tcW w:type="dxa" w:w="1440"/>
            <w:vAlign w:val="center"/>
          </w:tcPr>
          <w:p>
            <w:r/>
            <w:r>
              <w:rPr>
                <w:b w:val="0"/>
                <w:sz w:val="17"/>
              </w:rPr>
              <w:t>28.0</w:t>
            </w:r>
          </w:p>
        </w:tc>
        <w:tc>
          <w:tcPr>
            <w:tcW w:type="dxa" w:w="1440"/>
            <w:vAlign w:val="center"/>
          </w:tcPr>
          <w:p>
            <w:r/>
            <w:r>
              <w:rPr>
                <w:b w:val="0"/>
                <w:sz w:val="17"/>
              </w:rPr>
              <w:t>50K t</w:t>
            </w:r>
          </w:p>
        </w:tc>
        <w:tc>
          <w:tcPr>
            <w:tcW w:type="dxa" w:w="1440"/>
            <w:vAlign w:val="center"/>
          </w:tcPr>
          <w:p>
            <w:r/>
            <w:r>
              <w:rPr>
                <w:b w:val="0"/>
                <w:sz w:val="17"/>
              </w:rPr>
              <w:t>General cargo</w:t>
            </w:r>
          </w:p>
        </w:tc>
        <w:tc>
          <w:tcPr>
            <w:tcW w:type="dxa" w:w="1440"/>
            <w:vAlign w:val="center"/>
          </w:tcPr>
          <w:p>
            <w:r/>
            <w:r>
              <w:rPr>
                <w:b w:val="0"/>
                <w:sz w:val="17"/>
              </w:rPr>
              <w:t>Handysize, Small Panamax</w:t>
            </w:r>
          </w:p>
        </w:tc>
      </w:tr>
      <w:tr>
        <w:tc>
          <w:tcPr>
            <w:tcW w:type="dxa" w:w="1440"/>
            <w:vAlign w:val="center"/>
          </w:tcPr>
          <w:p>
            <w:r/>
            <w:r>
              <w:rPr>
                <w:b w:val="0"/>
                <w:sz w:val="17"/>
              </w:rPr>
              <w:t>Haldia</w:t>
            </w:r>
          </w:p>
        </w:tc>
        <w:tc>
          <w:tcPr>
            <w:tcW w:type="dxa" w:w="1440"/>
            <w:vAlign w:val="center"/>
          </w:tcPr>
          <w:p>
            <w:r/>
            <w:r>
              <w:rPr>
                <w:b w:val="0"/>
                <w:sz w:val="17"/>
              </w:rPr>
              <w:t>8.5</w:t>
            </w:r>
          </w:p>
        </w:tc>
        <w:tc>
          <w:tcPr>
            <w:tcW w:type="dxa" w:w="1440"/>
            <w:vAlign w:val="center"/>
          </w:tcPr>
          <w:p>
            <w:r/>
            <w:r>
              <w:rPr>
                <w:b w:val="0"/>
                <w:sz w:val="17"/>
              </w:rPr>
              <w:t>160</w:t>
            </w:r>
          </w:p>
        </w:tc>
        <w:tc>
          <w:tcPr>
            <w:tcW w:type="dxa" w:w="1440"/>
            <w:vAlign w:val="center"/>
          </w:tcPr>
          <w:p>
            <w:r/>
            <w:r>
              <w:rPr>
                <w:b w:val="0"/>
                <w:sz w:val="17"/>
              </w:rPr>
              <w:t>27.5</w:t>
            </w:r>
          </w:p>
        </w:tc>
        <w:tc>
          <w:tcPr>
            <w:tcW w:type="dxa" w:w="1440"/>
            <w:vAlign w:val="center"/>
          </w:tcPr>
          <w:p>
            <w:r/>
            <w:r>
              <w:rPr>
                <w:b w:val="0"/>
                <w:sz w:val="17"/>
              </w:rPr>
              <w:t>40K t</w:t>
            </w:r>
          </w:p>
        </w:tc>
        <w:tc>
          <w:tcPr>
            <w:tcW w:type="dxa" w:w="1440"/>
            <w:vAlign w:val="center"/>
          </w:tcPr>
          <w:p>
            <w:r/>
            <w:r>
              <w:rPr>
                <w:b w:val="0"/>
                <w:sz w:val="17"/>
              </w:rPr>
              <w:t>Coal, containers</w:t>
            </w:r>
          </w:p>
        </w:tc>
        <w:tc>
          <w:tcPr>
            <w:tcW w:type="dxa" w:w="1440"/>
            <w:vAlign w:val="center"/>
          </w:tcPr>
          <w:p>
            <w:r/>
            <w:r>
              <w:rPr>
                <w:b w:val="0"/>
                <w:sz w:val="17"/>
              </w:rPr>
              <w:t>Handysize</w:t>
            </w:r>
          </w:p>
        </w:tc>
      </w:tr>
    </w:tbl>
    <w:p>
      <w:pPr>
        <w:spacing w:after="40"/>
      </w:pPr>
    </w:p>
    <w:p>
      <w:pPr>
        <w:pStyle w:val="Heading2"/>
      </w:pPr>
      <w:r>
        <w:t>6.2 Origin–Commodity Flows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AF7"/>
          </w:tcPr>
          <w:p>
            <w:r/>
            <w:r>
              <w:rPr>
                <w:b/>
                <w:sz w:val="17"/>
              </w:rPr>
              <w:t>Origin</w:t>
            </w:r>
          </w:p>
        </w:tc>
        <w:tc>
          <w:tcPr>
            <w:tcW w:type="dxa" w:w="2520"/>
            <w:vAlign w:val="center"/>
            <w:shd w:fill="D9EAF7"/>
          </w:tcPr>
          <w:p>
            <w:r/>
            <w:r>
              <w:rPr>
                <w:b/>
                <w:sz w:val="17"/>
              </w:rPr>
              <w:t>Indicative Commodity Mix</w:t>
            </w:r>
          </w:p>
        </w:tc>
        <w:tc>
          <w:tcPr>
            <w:tcW w:type="dxa" w:w="2520"/>
            <w:vAlign w:val="center"/>
            <w:shd w:fill="D9EAF7"/>
          </w:tcPr>
          <w:p>
            <w:r/>
            <w:r>
              <w:rPr>
                <w:b/>
                <w:sz w:val="17"/>
              </w:rPr>
              <w:t>Target East Coast Ports</w:t>
            </w:r>
          </w:p>
        </w:tc>
        <w:tc>
          <w:tcPr>
            <w:tcW w:type="dxa" w:w="2520"/>
            <w:vAlign w:val="center"/>
            <w:shd w:fill="D9EAF7"/>
          </w:tcPr>
          <w:p>
            <w:r/>
            <w:r>
              <w:rPr>
                <w:b/>
                <w:sz w:val="17"/>
              </w:rPr>
              <w:t>Typical Vessel / Transit</w:t>
            </w:r>
          </w:p>
        </w:tc>
      </w:tr>
      <w:tr>
        <w:tc>
          <w:tcPr>
            <w:tcW w:type="dxa" w:w="2520"/>
            <w:vAlign w:val="center"/>
          </w:tcPr>
          <w:p>
            <w:r/>
            <w:r>
              <w:rPr>
                <w:b w:val="0"/>
                <w:sz w:val="17"/>
              </w:rPr>
              <w:t>Australia</w:t>
            </w:r>
          </w:p>
        </w:tc>
        <w:tc>
          <w:tcPr>
            <w:tcW w:type="dxa" w:w="2520"/>
            <w:vAlign w:val="center"/>
          </w:tcPr>
          <w:p>
            <w:r/>
            <w:r>
              <w:rPr>
                <w:b w:val="0"/>
                <w:sz w:val="17"/>
              </w:rPr>
              <w:t>Iron ore 70–75%; coal 15–20%</w:t>
            </w:r>
          </w:p>
        </w:tc>
        <w:tc>
          <w:tcPr>
            <w:tcW w:type="dxa" w:w="2520"/>
            <w:vAlign w:val="center"/>
          </w:tcPr>
          <w:p>
            <w:r/>
            <w:r>
              <w:rPr>
                <w:b w:val="0"/>
                <w:sz w:val="17"/>
              </w:rPr>
              <w:t>Paradip, Vizag</w:t>
            </w:r>
          </w:p>
        </w:tc>
        <w:tc>
          <w:tcPr>
            <w:tcW w:type="dxa" w:w="2520"/>
            <w:vAlign w:val="center"/>
          </w:tcPr>
          <w:p>
            <w:r/>
            <w:r>
              <w:rPr>
                <w:b w:val="0"/>
                <w:sz w:val="17"/>
              </w:rPr>
              <w:t>Capesize; ~14–16 days</w:t>
            </w:r>
          </w:p>
        </w:tc>
      </w:tr>
      <w:tr>
        <w:tc>
          <w:tcPr>
            <w:tcW w:type="dxa" w:w="2520"/>
            <w:vAlign w:val="center"/>
          </w:tcPr>
          <w:p>
            <w:r/>
            <w:r>
              <w:rPr>
                <w:b w:val="0"/>
                <w:sz w:val="17"/>
              </w:rPr>
              <w:t>US East Coast</w:t>
            </w:r>
          </w:p>
        </w:tc>
        <w:tc>
          <w:tcPr>
            <w:tcW w:type="dxa" w:w="2520"/>
            <w:vAlign w:val="center"/>
          </w:tcPr>
          <w:p>
            <w:r/>
            <w:r>
              <w:rPr>
                <w:b w:val="0"/>
                <w:sz w:val="17"/>
              </w:rPr>
              <w:t>Coal ~90%; grains ~10%</w:t>
            </w:r>
          </w:p>
        </w:tc>
        <w:tc>
          <w:tcPr>
            <w:tcW w:type="dxa" w:w="2520"/>
            <w:vAlign w:val="center"/>
          </w:tcPr>
          <w:p>
            <w:r/>
            <w:r>
              <w:rPr>
                <w:b w:val="0"/>
                <w:sz w:val="17"/>
              </w:rPr>
              <w:t>Mixed</w:t>
            </w:r>
          </w:p>
        </w:tc>
        <w:tc>
          <w:tcPr>
            <w:tcW w:type="dxa" w:w="2520"/>
            <w:vAlign w:val="center"/>
          </w:tcPr>
          <w:p>
            <w:r/>
            <w:r>
              <w:rPr>
                <w:b w:val="0"/>
                <w:sz w:val="17"/>
              </w:rPr>
              <w:t>Supramax/Panamax; ~28–32 days</w:t>
            </w:r>
          </w:p>
        </w:tc>
      </w:tr>
      <w:tr>
        <w:tc>
          <w:tcPr>
            <w:tcW w:type="dxa" w:w="2520"/>
            <w:vAlign w:val="center"/>
          </w:tcPr>
          <w:p>
            <w:r/>
            <w:r>
              <w:rPr>
                <w:b w:val="0"/>
                <w:sz w:val="17"/>
              </w:rPr>
              <w:t>Mozambique</w:t>
            </w:r>
          </w:p>
        </w:tc>
        <w:tc>
          <w:tcPr>
            <w:tcW w:type="dxa" w:w="2520"/>
            <w:vAlign w:val="center"/>
          </w:tcPr>
          <w:p>
            <w:r/>
            <w:r>
              <w:rPr>
                <w:b w:val="0"/>
                <w:sz w:val="17"/>
              </w:rPr>
              <w:t>Coal, mineral sands</w:t>
            </w:r>
          </w:p>
        </w:tc>
        <w:tc>
          <w:tcPr>
            <w:tcW w:type="dxa" w:w="2520"/>
            <w:vAlign w:val="center"/>
          </w:tcPr>
          <w:p>
            <w:r/>
            <w:r>
              <w:rPr>
                <w:b w:val="0"/>
                <w:sz w:val="17"/>
              </w:rPr>
              <w:t>Gopalpur, Gangavaram</w:t>
            </w:r>
          </w:p>
        </w:tc>
        <w:tc>
          <w:tcPr>
            <w:tcW w:type="dxa" w:w="2520"/>
            <w:vAlign w:val="center"/>
          </w:tcPr>
          <w:p>
            <w:r/>
            <w:r>
              <w:rPr>
                <w:b w:val="0"/>
                <w:sz w:val="17"/>
              </w:rPr>
              <w:t>Supramax/Handysize; ~10–12 days</w:t>
            </w:r>
          </w:p>
        </w:tc>
      </w:tr>
      <w:tr>
        <w:tc>
          <w:tcPr>
            <w:tcW w:type="dxa" w:w="2520"/>
            <w:vAlign w:val="center"/>
          </w:tcPr>
          <w:p>
            <w:r/>
            <w:r>
              <w:rPr>
                <w:b w:val="0"/>
                <w:sz w:val="17"/>
              </w:rPr>
              <w:t>Russia</w:t>
            </w:r>
          </w:p>
        </w:tc>
        <w:tc>
          <w:tcPr>
            <w:tcW w:type="dxa" w:w="2520"/>
            <w:vAlign w:val="center"/>
          </w:tcPr>
          <w:p>
            <w:r/>
            <w:r>
              <w:rPr>
                <w:b w:val="0"/>
                <w:sz w:val="17"/>
              </w:rPr>
              <w:t>Coal, fertilizers</w:t>
            </w:r>
          </w:p>
        </w:tc>
        <w:tc>
          <w:tcPr>
            <w:tcW w:type="dxa" w:w="2520"/>
            <w:vAlign w:val="center"/>
          </w:tcPr>
          <w:p>
            <w:r/>
            <w:r>
              <w:rPr>
                <w:b w:val="0"/>
                <w:sz w:val="17"/>
              </w:rPr>
              <w:t>Dhamra, Paradip</w:t>
            </w:r>
          </w:p>
        </w:tc>
        <w:tc>
          <w:tcPr>
            <w:tcW w:type="dxa" w:w="2520"/>
            <w:vAlign w:val="center"/>
          </w:tcPr>
          <w:p>
            <w:r/>
            <w:r>
              <w:rPr>
                <w:b w:val="0"/>
                <w:sz w:val="17"/>
              </w:rPr>
              <w:t>Mixed; ~12–16 days</w:t>
            </w:r>
          </w:p>
        </w:tc>
      </w:tr>
      <w:tr>
        <w:tc>
          <w:tcPr>
            <w:tcW w:type="dxa" w:w="2520"/>
            <w:vAlign w:val="center"/>
          </w:tcPr>
          <w:p>
            <w:r/>
            <w:r>
              <w:rPr>
                <w:b w:val="0"/>
                <w:sz w:val="17"/>
              </w:rPr>
              <w:t>Indonesia</w:t>
            </w:r>
          </w:p>
        </w:tc>
        <w:tc>
          <w:tcPr>
            <w:tcW w:type="dxa" w:w="2520"/>
            <w:vAlign w:val="center"/>
          </w:tcPr>
          <w:p>
            <w:r/>
            <w:r>
              <w:rPr>
                <w:b w:val="0"/>
                <w:sz w:val="17"/>
              </w:rPr>
              <w:t>Coal, nickel ore</w:t>
            </w:r>
          </w:p>
        </w:tc>
        <w:tc>
          <w:tcPr>
            <w:tcW w:type="dxa" w:w="2520"/>
            <w:vAlign w:val="center"/>
          </w:tcPr>
          <w:p>
            <w:r/>
            <w:r>
              <w:rPr>
                <w:b w:val="0"/>
                <w:sz w:val="17"/>
              </w:rPr>
              <w:t>Gopalpur, Gangavaram, Vizag</w:t>
            </w:r>
          </w:p>
        </w:tc>
        <w:tc>
          <w:tcPr>
            <w:tcW w:type="dxa" w:w="2520"/>
            <w:vAlign w:val="center"/>
          </w:tcPr>
          <w:p>
            <w:r/>
            <w:r>
              <w:rPr>
                <w:b w:val="0"/>
                <w:sz w:val="17"/>
              </w:rPr>
              <w:t>Handysize/Supramax; ~7–9 days</w:t>
            </w:r>
          </w:p>
        </w:tc>
      </w:tr>
    </w:tbl>
    <w:p>
      <w:pPr>
        <w:spacing w:after="40"/>
      </w:pPr>
    </w:p>
    <w:p>
      <w:pPr>
        <w:pStyle w:val="Heading1"/>
      </w:pPr>
      <w:r>
        <w:t>7. Data Sources &amp; Data Pipeline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AF7"/>
          </w:tcPr>
          <w:p>
            <w:r/>
            <w:r>
              <w:rPr>
                <w:b/>
                <w:sz w:val="17"/>
              </w:rPr>
              <w:t>Data</w:t>
            </w:r>
          </w:p>
        </w:tc>
        <w:tc>
          <w:tcPr>
            <w:tcW w:type="dxa" w:w="2520"/>
            <w:vAlign w:val="center"/>
            <w:shd w:fill="D9EAF7"/>
          </w:tcPr>
          <w:p>
            <w:r/>
            <w:r>
              <w:rPr>
                <w:b/>
                <w:sz w:val="17"/>
              </w:rPr>
              <w:t>Source / Approach</w:t>
            </w:r>
          </w:p>
        </w:tc>
        <w:tc>
          <w:tcPr>
            <w:tcW w:type="dxa" w:w="2520"/>
            <w:vAlign w:val="center"/>
            <w:shd w:fill="D9EAF7"/>
          </w:tcPr>
          <w:p>
            <w:r/>
            <w:r>
              <w:rPr>
                <w:b/>
                <w:sz w:val="17"/>
              </w:rPr>
              <w:t>Refresh</w:t>
            </w:r>
          </w:p>
        </w:tc>
        <w:tc>
          <w:tcPr>
            <w:tcW w:type="dxa" w:w="2520"/>
            <w:vAlign w:val="center"/>
            <w:shd w:fill="D9EAF7"/>
          </w:tcPr>
          <w:p>
            <w:r/>
            <w:r>
              <w:rPr>
                <w:b/>
                <w:sz w:val="17"/>
              </w:rPr>
              <w:t>Use</w:t>
            </w:r>
          </w:p>
        </w:tc>
      </w:tr>
      <w:tr>
        <w:tc>
          <w:tcPr>
            <w:tcW w:type="dxa" w:w="2520"/>
            <w:vAlign w:val="center"/>
          </w:tcPr>
          <w:p>
            <w:r/>
            <w:r>
              <w:rPr>
                <w:b w:val="0"/>
                <w:sz w:val="17"/>
              </w:rPr>
              <w:t>Freight rates / indices</w:t>
            </w:r>
          </w:p>
        </w:tc>
        <w:tc>
          <w:tcPr>
            <w:tcW w:type="dxa" w:w="2520"/>
            <w:vAlign w:val="center"/>
          </w:tcPr>
          <w:p>
            <w:r/>
            <w:r>
              <w:rPr>
                <w:b w:val="0"/>
                <w:sz w:val="17"/>
              </w:rPr>
              <w:t>BDI, SCFI, maritime/Kaggle datasets; route-level data where available</w:t>
            </w:r>
          </w:p>
        </w:tc>
        <w:tc>
          <w:tcPr>
            <w:tcW w:type="dxa" w:w="2520"/>
            <w:vAlign w:val="center"/>
          </w:tcPr>
          <w:p>
            <w:r/>
            <w:r>
              <w:rPr>
                <w:b w:val="0"/>
                <w:sz w:val="17"/>
              </w:rPr>
              <w:t>Daily</w:t>
            </w:r>
          </w:p>
        </w:tc>
        <w:tc>
          <w:tcPr>
            <w:tcW w:type="dxa" w:w="2520"/>
            <w:vAlign w:val="center"/>
          </w:tcPr>
          <w:p>
            <w:r/>
            <w:r>
              <w:rPr>
                <w:b w:val="0"/>
                <w:sz w:val="17"/>
              </w:rPr>
              <w:t>Target variable + benchmark.</w:t>
            </w:r>
          </w:p>
        </w:tc>
      </w:tr>
      <w:tr>
        <w:tc>
          <w:tcPr>
            <w:tcW w:type="dxa" w:w="2520"/>
            <w:vAlign w:val="center"/>
          </w:tcPr>
          <w:p>
            <w:r/>
            <w:r>
              <w:rPr>
                <w:b w:val="0"/>
                <w:sz w:val="17"/>
              </w:rPr>
              <w:t>Fuel / bunker prices</w:t>
            </w:r>
          </w:p>
        </w:tc>
        <w:tc>
          <w:tcPr>
            <w:tcW w:type="dxa" w:w="2520"/>
            <w:vAlign w:val="center"/>
          </w:tcPr>
          <w:p>
            <w:r/>
            <w:r>
              <w:rPr>
                <w:b w:val="0"/>
                <w:sz w:val="17"/>
              </w:rPr>
              <w:t>IEA/EIA, Bloomberg/market APIs where available</w:t>
            </w:r>
          </w:p>
        </w:tc>
        <w:tc>
          <w:tcPr>
            <w:tcW w:type="dxa" w:w="2520"/>
            <w:vAlign w:val="center"/>
          </w:tcPr>
          <w:p>
            <w:r/>
            <w:r>
              <w:rPr>
                <w:b w:val="0"/>
                <w:sz w:val="17"/>
              </w:rPr>
              <w:t>Daily</w:t>
            </w:r>
          </w:p>
        </w:tc>
        <w:tc>
          <w:tcPr>
            <w:tcW w:type="dxa" w:w="2520"/>
            <w:vAlign w:val="center"/>
          </w:tcPr>
          <w:p>
            <w:r/>
            <w:r>
              <w:rPr>
                <w:b w:val="0"/>
                <w:sz w:val="17"/>
              </w:rPr>
              <w:t>Cost driver + volatility.</w:t>
            </w:r>
          </w:p>
        </w:tc>
      </w:tr>
      <w:tr>
        <w:tc>
          <w:tcPr>
            <w:tcW w:type="dxa" w:w="2520"/>
            <w:vAlign w:val="center"/>
          </w:tcPr>
          <w:p>
            <w:r/>
            <w:r>
              <w:rPr>
                <w:b w:val="0"/>
                <w:sz w:val="17"/>
              </w:rPr>
              <w:t>AIS vessel data</w:t>
            </w:r>
          </w:p>
        </w:tc>
        <w:tc>
          <w:tcPr>
            <w:tcW w:type="dxa" w:w="2520"/>
            <w:vAlign w:val="center"/>
          </w:tcPr>
          <w:p>
            <w:r/>
            <w:r>
              <w:rPr>
                <w:b w:val="0"/>
                <w:sz w:val="17"/>
              </w:rPr>
              <w:t>MarineTraffic, Kaggle, OpenStreetMap-derived context</w:t>
            </w:r>
          </w:p>
        </w:tc>
        <w:tc>
          <w:tcPr>
            <w:tcW w:type="dxa" w:w="2520"/>
            <w:vAlign w:val="center"/>
          </w:tcPr>
          <w:p>
            <w:r/>
            <w:r>
              <w:rPr>
                <w:b w:val="0"/>
                <w:sz w:val="17"/>
              </w:rPr>
              <w:t>Real-time / ~6-hourly where available</w:t>
            </w:r>
          </w:p>
        </w:tc>
        <w:tc>
          <w:tcPr>
            <w:tcW w:type="dxa" w:w="2520"/>
            <w:vAlign w:val="center"/>
          </w:tcPr>
          <w:p>
            <w:r/>
            <w:r>
              <w:rPr>
                <w:b w:val="0"/>
                <w:sz w:val="17"/>
              </w:rPr>
              <w:t>Queue length, vessel distribution, supply proxy.</w:t>
            </w:r>
          </w:p>
        </w:tc>
      </w:tr>
      <w:tr>
        <w:tc>
          <w:tcPr>
            <w:tcW w:type="dxa" w:w="2520"/>
            <w:vAlign w:val="center"/>
          </w:tcPr>
          <w:p>
            <w:r/>
            <w:r>
              <w:rPr>
                <w:b w:val="0"/>
                <w:sz w:val="17"/>
              </w:rPr>
              <w:t>Port congestion</w:t>
            </w:r>
          </w:p>
        </w:tc>
        <w:tc>
          <w:tcPr>
            <w:tcW w:type="dxa" w:w="2520"/>
            <w:vAlign w:val="center"/>
          </w:tcPr>
          <w:p>
            <w:r/>
            <w:r>
              <w:rPr>
                <w:b w:val="0"/>
                <w:sz w:val="17"/>
              </w:rPr>
              <w:t>Port authority APIs/dashboards + AIS proxies</w:t>
            </w:r>
          </w:p>
        </w:tc>
        <w:tc>
          <w:tcPr>
            <w:tcW w:type="dxa" w:w="2520"/>
            <w:vAlign w:val="center"/>
          </w:tcPr>
          <w:p>
            <w:r/>
            <w:r>
              <w:rPr>
                <w:b w:val="0"/>
                <w:sz w:val="17"/>
              </w:rPr>
              <w:t>Daily</w:t>
            </w:r>
          </w:p>
        </w:tc>
        <w:tc>
          <w:tcPr>
            <w:tcW w:type="dxa" w:w="2520"/>
            <w:vAlign w:val="center"/>
          </w:tcPr>
          <w:p>
            <w:r/>
            <w:r>
              <w:rPr>
                <w:b w:val="0"/>
                <w:sz w:val="17"/>
              </w:rPr>
              <w:t>Wait time, queue, congestion score.</w:t>
            </w:r>
          </w:p>
        </w:tc>
      </w:tr>
      <w:tr>
        <w:tc>
          <w:tcPr>
            <w:tcW w:type="dxa" w:w="2520"/>
            <w:vAlign w:val="center"/>
          </w:tcPr>
          <w:p>
            <w:r/>
            <w:r>
              <w:rPr>
                <w:b w:val="0"/>
                <w:sz w:val="17"/>
              </w:rPr>
              <w:t>Commodity prices</w:t>
            </w:r>
          </w:p>
        </w:tc>
        <w:tc>
          <w:tcPr>
            <w:tcW w:type="dxa" w:w="2520"/>
            <w:vAlign w:val="center"/>
          </w:tcPr>
          <w:p>
            <w:r/>
            <w:r>
              <w:rPr>
                <w:b w:val="0"/>
                <w:sz w:val="17"/>
              </w:rPr>
              <w:t>Trading Economics, CEIC, commodity datasets</w:t>
            </w:r>
          </w:p>
        </w:tc>
        <w:tc>
          <w:tcPr>
            <w:tcW w:type="dxa" w:w="2520"/>
            <w:vAlign w:val="center"/>
          </w:tcPr>
          <w:p>
            <w:r/>
            <w:r>
              <w:rPr>
                <w:b w:val="0"/>
                <w:sz w:val="17"/>
              </w:rPr>
              <w:t>Daily</w:t>
            </w:r>
          </w:p>
        </w:tc>
        <w:tc>
          <w:tcPr>
            <w:tcW w:type="dxa" w:w="2520"/>
            <w:vAlign w:val="center"/>
          </w:tcPr>
          <w:p>
            <w:r/>
            <w:r>
              <w:rPr>
                <w:b w:val="0"/>
                <w:sz w:val="17"/>
              </w:rPr>
              <w:t>Demand/price driver.</w:t>
            </w:r>
          </w:p>
        </w:tc>
      </w:tr>
      <w:tr>
        <w:tc>
          <w:tcPr>
            <w:tcW w:type="dxa" w:w="2520"/>
            <w:vAlign w:val="center"/>
          </w:tcPr>
          <w:p>
            <w:r/>
            <w:r>
              <w:rPr>
                <w:b w:val="0"/>
                <w:sz w:val="17"/>
              </w:rPr>
              <w:t>Weather / sea state</w:t>
            </w:r>
          </w:p>
        </w:tc>
        <w:tc>
          <w:tcPr>
            <w:tcW w:type="dxa" w:w="2520"/>
            <w:vAlign w:val="center"/>
          </w:tcPr>
          <w:p>
            <w:r/>
            <w:r>
              <w:rPr>
                <w:b w:val="0"/>
                <w:sz w:val="17"/>
              </w:rPr>
              <w:t>NOAA, Met India, Copernicus</w:t>
            </w:r>
          </w:p>
        </w:tc>
        <w:tc>
          <w:tcPr>
            <w:tcW w:type="dxa" w:w="2520"/>
            <w:vAlign w:val="center"/>
          </w:tcPr>
          <w:p>
            <w:r/>
            <w:r>
              <w:rPr>
                <w:b w:val="0"/>
                <w:sz w:val="17"/>
              </w:rPr>
              <w:t>~3-hourly</w:t>
            </w:r>
          </w:p>
        </w:tc>
        <w:tc>
          <w:tcPr>
            <w:tcW w:type="dxa" w:w="2520"/>
            <w:vAlign w:val="center"/>
          </w:tcPr>
          <w:p>
            <w:r/>
            <w:r>
              <w:rPr>
                <w:b w:val="0"/>
                <w:sz w:val="17"/>
              </w:rPr>
              <w:t>Disruption / seasonal features.</w:t>
            </w:r>
          </w:p>
        </w:tc>
      </w:tr>
      <w:tr>
        <w:tc>
          <w:tcPr>
            <w:tcW w:type="dxa" w:w="2520"/>
            <w:vAlign w:val="center"/>
          </w:tcPr>
          <w:p>
            <w:r/>
            <w:r>
              <w:rPr>
                <w:b w:val="0"/>
                <w:sz w:val="17"/>
              </w:rPr>
              <w:t>Port constraints</w:t>
            </w:r>
          </w:p>
        </w:tc>
        <w:tc>
          <w:tcPr>
            <w:tcW w:type="dxa" w:w="2520"/>
            <w:vAlign w:val="center"/>
          </w:tcPr>
          <w:p>
            <w:r/>
            <w:r>
              <w:rPr>
                <w:b w:val="0"/>
                <w:sz w:val="17"/>
              </w:rPr>
              <w:t>Port authority websites/PDFs + DGFT shipping indices</w:t>
            </w:r>
          </w:p>
        </w:tc>
        <w:tc>
          <w:tcPr>
            <w:tcW w:type="dxa" w:w="2520"/>
            <w:vAlign w:val="center"/>
          </w:tcPr>
          <w:p>
            <w:r/>
            <w:r>
              <w:rPr>
                <w:b w:val="0"/>
                <w:sz w:val="17"/>
              </w:rPr>
              <w:t>Quarterly / curated</w:t>
            </w:r>
          </w:p>
        </w:tc>
        <w:tc>
          <w:tcPr>
            <w:tcW w:type="dxa" w:w="2520"/>
            <w:vAlign w:val="center"/>
          </w:tcPr>
          <w:p>
            <w:r/>
            <w:r>
              <w:rPr>
                <w:b w:val="0"/>
                <w:sz w:val="17"/>
              </w:rPr>
              <w:t>Draft, LOA, beam, capacity.</w:t>
            </w:r>
          </w:p>
        </w:tc>
      </w:tr>
      <w:tr>
        <w:tc>
          <w:tcPr>
            <w:tcW w:type="dxa" w:w="2520"/>
            <w:vAlign w:val="center"/>
          </w:tcPr>
          <w:p>
            <w:r/>
            <w:r>
              <w:rPr>
                <w:b w:val="0"/>
                <w:sz w:val="17"/>
              </w:rPr>
              <w:t>Origin availability</w:t>
            </w:r>
          </w:p>
        </w:tc>
        <w:tc>
          <w:tcPr>
            <w:tcW w:type="dxa" w:w="2520"/>
            <w:vAlign w:val="center"/>
          </w:tcPr>
          <w:p>
            <w:r/>
            <w:r>
              <w:rPr>
                <w:b w:val="0"/>
                <w:sz w:val="17"/>
              </w:rPr>
              <w:t>Mining/company reports, USGS, SIMA indices, Russian port data</w:t>
            </w:r>
          </w:p>
        </w:tc>
        <w:tc>
          <w:tcPr>
            <w:tcW w:type="dxa" w:w="2520"/>
            <w:vAlign w:val="center"/>
          </w:tcPr>
          <w:p>
            <w:r/>
            <w:r>
              <w:rPr>
                <w:b w:val="0"/>
                <w:sz w:val="17"/>
              </w:rPr>
              <w:t>Weekly</w:t>
            </w:r>
          </w:p>
        </w:tc>
        <w:tc>
          <w:tcPr>
            <w:tcW w:type="dxa" w:w="2520"/>
            <w:vAlign w:val="center"/>
          </w:tcPr>
          <w:p>
            <w:r/>
            <w:r>
              <w:rPr>
                <w:b w:val="0"/>
                <w:sz w:val="17"/>
              </w:rPr>
              <w:t>Supply forecast by origin.</w:t>
            </w:r>
          </w:p>
        </w:tc>
      </w:tr>
      <w:tr>
        <w:tc>
          <w:tcPr>
            <w:tcW w:type="dxa" w:w="2520"/>
            <w:vAlign w:val="center"/>
          </w:tcPr>
          <w:p>
            <w:r/>
            <w:r>
              <w:rPr>
                <w:b w:val="0"/>
                <w:sz w:val="17"/>
              </w:rPr>
              <w:t>Seasonal indicators</w:t>
            </w:r>
          </w:p>
        </w:tc>
        <w:tc>
          <w:tcPr>
            <w:tcW w:type="dxa" w:w="2520"/>
            <w:vAlign w:val="center"/>
          </w:tcPr>
          <w:p>
            <w:r/>
            <w:r>
              <w:rPr>
                <w:b w:val="0"/>
                <w:sz w:val="17"/>
              </w:rPr>
              <w:t>Feature engineering: holidays, monsoon, month, day-of-week</w:t>
            </w:r>
          </w:p>
        </w:tc>
        <w:tc>
          <w:tcPr>
            <w:tcW w:type="dxa" w:w="2520"/>
            <w:vAlign w:val="center"/>
          </w:tcPr>
          <w:p>
            <w:r/>
            <w:r>
              <w:rPr>
                <w:b w:val="0"/>
                <w:sz w:val="17"/>
              </w:rPr>
              <w:t>Static / derived</w:t>
            </w:r>
          </w:p>
        </w:tc>
        <w:tc>
          <w:tcPr>
            <w:tcW w:type="dxa" w:w="2520"/>
            <w:vAlign w:val="center"/>
          </w:tcPr>
          <w:p>
            <w:r/>
            <w:r>
              <w:rPr>
                <w:b w:val="0"/>
                <w:sz w:val="17"/>
              </w:rPr>
              <w:t>Seasonality and regime effects.</w:t>
            </w:r>
          </w:p>
        </w:tc>
      </w:tr>
    </w:tbl>
    <w:p>
      <w:pPr>
        <w:spacing w:after="40"/>
      </w:pPr>
    </w:p>
    <w:p>
      <w:pPr>
        <w:pStyle w:val="Heading2"/>
      </w:pPr>
      <w:r>
        <w:t>7.1 Pipeline</w:t>
      </w:r>
    </w:p>
    <w:p>
      <w:pPr>
        <w:pStyle w:val="ListBullet"/>
        <w:spacing w:after="20"/>
      </w:pPr>
      <w:r>
        <w:t>Ingestion: Airflow DAGs fetch daily/hourly data; Kafka is reserved for real-time streams where justified.</w:t>
      </w:r>
    </w:p>
    <w:p>
      <w:pPr>
        <w:pStyle w:val="ListBullet"/>
        <w:spacing w:after="20"/>
      </w:pPr>
      <w:r>
        <w:t>Validation: Great Expectations checks schema, ranges, missingness, duplicates, and freshness.</w:t>
      </w:r>
    </w:p>
    <w:p>
      <w:pPr>
        <w:pStyle w:val="ListBullet"/>
        <w:spacing w:after="20"/>
      </w:pPr>
      <w:r>
        <w:t>Storage: PostgreSQL + TimescaleDB for structured/time-series data; Redis for cache.</w:t>
      </w:r>
    </w:p>
    <w:p>
      <w:pPr>
        <w:pStyle w:val="ListBullet"/>
        <w:spacing w:after="20"/>
      </w:pPr>
      <w:r>
        <w:t>Preprocessing: Pandas/Polars; missing-value handling, outlier treatment, normalization, lag construction.</w:t>
      </w:r>
    </w:p>
    <w:p>
      <w:pPr>
        <w:pStyle w:val="ListBullet"/>
        <w:spacing w:after="20"/>
      </w:pPr>
      <w:r>
        <w:t>Feature management: Kedro pipeline and DVC for reproducible datasets/features.</w:t>
      </w:r>
    </w:p>
    <w:p>
      <w:pPr>
        <w:pStyle w:val="ListBullet"/>
        <w:spacing w:after="20"/>
      </w:pPr>
      <w:r>
        <w:t>Training: weekly retraining; MLflow tracks experiments, metrics, and model versions.</w:t>
      </w:r>
    </w:p>
    <w:p>
      <w:pPr>
        <w:pStyle w:val="Heading1"/>
      </w:pPr>
      <w:r>
        <w:t>8. Machine Learning &amp; Optimization Architecture</w:t>
      </w:r>
    </w:p>
    <w:p>
      <w:pPr>
        <w:pStyle w:val="Heading2"/>
      </w:pPr>
      <w:r>
        <w:t>8.1 Forecast Models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center"/>
            <w:shd w:fill="D9EAF7"/>
          </w:tcPr>
          <w:p>
            <w:r/>
            <w:r>
              <w:rPr>
                <w:b/>
                <w:sz w:val="17"/>
              </w:rPr>
              <w:t>Model</w:t>
            </w:r>
          </w:p>
        </w:tc>
        <w:tc>
          <w:tcPr>
            <w:tcW w:type="dxa" w:w="2016"/>
            <w:vAlign w:val="center"/>
            <w:shd w:fill="D9EAF7"/>
          </w:tcPr>
          <w:p>
            <w:r/>
            <w:r>
              <w:rPr>
                <w:b/>
                <w:sz w:val="17"/>
              </w:rPr>
              <w:t>Role</w:t>
            </w:r>
          </w:p>
        </w:tc>
        <w:tc>
          <w:tcPr>
            <w:tcW w:type="dxa" w:w="2016"/>
            <w:vAlign w:val="center"/>
            <w:shd w:fill="D9EAF7"/>
          </w:tcPr>
          <w:p>
            <w:r/>
            <w:r>
              <w:rPr>
                <w:b/>
                <w:sz w:val="17"/>
              </w:rPr>
              <w:t>Key Configuration / Features</w:t>
            </w:r>
          </w:p>
        </w:tc>
        <w:tc>
          <w:tcPr>
            <w:tcW w:type="dxa" w:w="2016"/>
            <w:vAlign w:val="center"/>
            <w:shd w:fill="D9EAF7"/>
          </w:tcPr>
          <w:p>
            <w:r/>
            <w:r>
              <w:rPr>
                <w:b/>
                <w:sz w:val="17"/>
              </w:rPr>
              <w:t>Strength</w:t>
            </w:r>
          </w:p>
        </w:tc>
        <w:tc>
          <w:tcPr>
            <w:tcW w:type="dxa" w:w="2016"/>
            <w:vAlign w:val="center"/>
            <w:shd w:fill="D9EAF7"/>
          </w:tcPr>
          <w:p>
            <w:r/>
            <w:r>
              <w:rPr>
                <w:b/>
                <w:sz w:val="17"/>
              </w:rPr>
              <w:t>Risk</w:t>
            </w:r>
          </w:p>
        </w:tc>
      </w:tr>
      <w:tr>
        <w:tc>
          <w:tcPr>
            <w:tcW w:type="dxa" w:w="2016"/>
            <w:vAlign w:val="center"/>
          </w:tcPr>
          <w:p>
            <w:r/>
            <w:r>
              <w:rPr>
                <w:b w:val="0"/>
                <w:sz w:val="17"/>
              </w:rPr>
              <w:t>Prophet</w:t>
            </w:r>
          </w:p>
        </w:tc>
        <w:tc>
          <w:tcPr>
            <w:tcW w:type="dxa" w:w="2016"/>
            <w:vAlign w:val="center"/>
          </w:tcPr>
          <w:p>
            <w:r/>
            <w:r>
              <w:rPr>
                <w:b w:val="0"/>
                <w:sz w:val="17"/>
              </w:rPr>
              <w:t>Baseline time-series decomposition</w:t>
            </w:r>
          </w:p>
        </w:tc>
        <w:tc>
          <w:tcPr>
            <w:tcW w:type="dxa" w:w="2016"/>
            <w:vAlign w:val="center"/>
          </w:tcPr>
          <w:p>
            <w:r/>
            <w:r>
              <w:rPr>
                <w:b w:val="0"/>
                <w:sz w:val="17"/>
              </w:rPr>
              <w:t>Yearly seasonality; changepoint_range 0.9; prior scale 10</w:t>
            </w:r>
          </w:p>
        </w:tc>
        <w:tc>
          <w:tcPr>
            <w:tcW w:type="dxa" w:w="2016"/>
            <w:vAlign w:val="center"/>
          </w:tcPr>
          <w:p>
            <w:r/>
            <w:r>
              <w:rPr>
                <w:b w:val="0"/>
                <w:sz w:val="17"/>
              </w:rPr>
              <w:t>Fast, interpretable</w:t>
            </w:r>
          </w:p>
        </w:tc>
        <w:tc>
          <w:tcPr>
            <w:tcW w:type="dxa" w:w="2016"/>
            <w:vAlign w:val="center"/>
          </w:tcPr>
          <w:p>
            <w:r/>
            <w:r>
              <w:rPr>
                <w:b w:val="0"/>
                <w:sz w:val="17"/>
              </w:rPr>
              <w:t>Limited exogenous modeling unless regressors are added.</w:t>
            </w:r>
          </w:p>
        </w:tc>
      </w:tr>
      <w:tr>
        <w:tc>
          <w:tcPr>
            <w:tcW w:type="dxa" w:w="2016"/>
            <w:vAlign w:val="center"/>
          </w:tcPr>
          <w:p>
            <w:r/>
            <w:r>
              <w:rPr>
                <w:b w:val="0"/>
                <w:sz w:val="17"/>
              </w:rPr>
              <w:t>LSTM</w:t>
            </w:r>
          </w:p>
        </w:tc>
        <w:tc>
          <w:tcPr>
            <w:tcW w:type="dxa" w:w="2016"/>
            <w:vAlign w:val="center"/>
          </w:tcPr>
          <w:p>
            <w:r/>
            <w:r>
              <w:rPr>
                <w:b w:val="0"/>
                <w:sz w:val="17"/>
              </w:rPr>
              <w:t>Temporal/nonlinear forecasting</w:t>
            </w:r>
          </w:p>
        </w:tc>
        <w:tc>
          <w:tcPr>
            <w:tcW w:type="dxa" w:w="2016"/>
            <w:vAlign w:val="center"/>
          </w:tcPr>
          <w:p>
            <w:r/>
            <w:r>
              <w:rPr>
                <w:b w:val="0"/>
                <w:sz w:val="17"/>
              </w:rPr>
              <w:t>2 layers: 64→32; Dense 16→1; 30-day lookback; dropout 0.2; Adam; MSE; early stopping</w:t>
            </w:r>
          </w:p>
        </w:tc>
        <w:tc>
          <w:tcPr>
            <w:tcW w:type="dxa" w:w="2016"/>
            <w:vAlign w:val="center"/>
          </w:tcPr>
          <w:p>
            <w:r/>
            <w:r>
              <w:rPr>
                <w:b w:val="0"/>
                <w:sz w:val="17"/>
              </w:rPr>
              <w:t>Captures nonlinear temporal patterns</w:t>
            </w:r>
          </w:p>
        </w:tc>
        <w:tc>
          <w:tcPr>
            <w:tcW w:type="dxa" w:w="2016"/>
            <w:vAlign w:val="center"/>
          </w:tcPr>
          <w:p>
            <w:r/>
            <w:r>
              <w:rPr>
                <w:b w:val="0"/>
                <w:sz w:val="17"/>
              </w:rPr>
              <w:t>Data hungry / less interpretable.</w:t>
            </w:r>
          </w:p>
        </w:tc>
      </w:tr>
      <w:tr>
        <w:tc>
          <w:tcPr>
            <w:tcW w:type="dxa" w:w="2016"/>
            <w:vAlign w:val="center"/>
          </w:tcPr>
          <w:p>
            <w:r/>
            <w:r>
              <w:rPr>
                <w:b w:val="0"/>
                <w:sz w:val="17"/>
              </w:rPr>
              <w:t>XGBoost</w:t>
            </w:r>
          </w:p>
        </w:tc>
        <w:tc>
          <w:tcPr>
            <w:tcW w:type="dxa" w:w="2016"/>
            <w:vAlign w:val="center"/>
          </w:tcPr>
          <w:p>
            <w:r/>
            <w:r>
              <w:rPr>
                <w:b w:val="0"/>
                <w:sz w:val="17"/>
              </w:rPr>
              <w:t>Feature-driven forecast</w:t>
            </w:r>
          </w:p>
        </w:tc>
        <w:tc>
          <w:tcPr>
            <w:tcW w:type="dxa" w:w="2016"/>
            <w:vAlign w:val="center"/>
          </w:tcPr>
          <w:p>
            <w:r/>
            <w:r>
              <w:rPr>
                <w:b w:val="0"/>
                <w:sz w:val="17"/>
              </w:rPr>
              <w:t>Lagged rate, fuel, congestion, commodity, month, volatility, queue, seasonal flag</w:t>
            </w:r>
          </w:p>
        </w:tc>
        <w:tc>
          <w:tcPr>
            <w:tcW w:type="dxa" w:w="2016"/>
            <w:vAlign w:val="center"/>
          </w:tcPr>
          <w:p>
            <w:r/>
            <w:r>
              <w:rPr>
                <w:b w:val="0"/>
                <w:sz w:val="17"/>
              </w:rPr>
              <w:t>Strong tabular interactions + feature importance</w:t>
            </w:r>
          </w:p>
        </w:tc>
        <w:tc>
          <w:tcPr>
            <w:tcW w:type="dxa" w:w="2016"/>
            <w:vAlign w:val="center"/>
          </w:tcPr>
          <w:p>
            <w:r/>
            <w:r>
              <w:rPr>
                <w:b w:val="0"/>
                <w:sz w:val="17"/>
              </w:rPr>
              <w:t>Can overfit sparse route/commodity combinations.</w:t>
            </w:r>
          </w:p>
        </w:tc>
      </w:tr>
    </w:tbl>
    <w:p>
      <w:pPr>
        <w:spacing w:after="40"/>
      </w:pPr>
    </w:p>
    <w:p>
      <w:pPr>
        <w:pStyle w:val="Heading2"/>
      </w:pPr>
      <w:r>
        <w:t>8.2 Evaluation &amp; Backtesting</w:t>
      </w:r>
    </w:p>
    <w:p>
      <w:pPr>
        <w:pStyle w:val="ListBullet"/>
        <w:spacing w:after="20"/>
      </w:pPr>
      <w:r>
        <w:t>Primary metric: MAPE; target &lt;15% (equivalent to &gt;85% accuracy framing used in the PRDs).</w:t>
      </w:r>
    </w:p>
    <w:p>
      <w:pPr>
        <w:pStyle w:val="ListBullet"/>
        <w:spacing w:after="20"/>
      </w:pPr>
      <w:r>
        <w:t>Secondary metrics: RMSE, directional accuracy, and prediction-interval coverage.</w:t>
      </w:r>
    </w:p>
    <w:p>
      <w:pPr>
        <w:pStyle w:val="ListBullet"/>
        <w:spacing w:after="20"/>
      </w:pPr>
      <w:r>
        <w:t>Validation: chronological train/validation/test split (70/15/15) and walk-forward backtesting.</w:t>
      </w:r>
    </w:p>
    <w:p>
      <w:pPr>
        <w:pStyle w:val="ListBullet"/>
        <w:spacing w:after="20"/>
      </w:pPr>
      <w:r>
        <w:t>Compare against simple moving average / spot baseline to prove incremental value.</w:t>
      </w:r>
    </w:p>
    <w:p>
      <w:pPr>
        <w:pStyle w:val="ListBullet"/>
        <w:spacing w:after="20"/>
      </w:pPr>
      <w:r>
        <w:t>Report model performance per horizon and route/commodity where data volume permits.</w:t>
      </w:r>
    </w:p>
    <w:p>
      <w:pPr>
        <w:pStyle w:val="Heading2"/>
      </w:pPr>
      <w:r>
        <w:t>8.3 Ensemble</w:t>
      </w:r>
    </w:p>
    <w:p>
      <w:pPr>
        <w:spacing w:after="80"/>
      </w:pPr>
      <w:r>
        <w:t>Final forecast = 0.25 × Prophet + 0.40 × LSTM + 0.35 × XGBoost. The weights are the initial baseline from the PRDs and should be validated rather than presented as inherently optimal.</w:t>
      </w:r>
    </w:p>
    <w:p>
      <w:pPr>
        <w:pStyle w:val="Heading2"/>
      </w:pPr>
      <w:r>
        <w:t>8.4 Optimization Modules</w:t>
      </w:r>
    </w:p>
    <w:p>
      <w:pPr>
        <w:pStyle w:val="ListBullet"/>
        <w:spacing w:after="20"/>
      </w:pPr>
      <w:r>
        <w:t>Vessel classifier: XGBoost multi-class ranking based on cost, port fit, transit, utilization, and schedule.</w:t>
      </w:r>
    </w:p>
    <w:p>
      <w:pPr>
        <w:pStyle w:val="ListBullet"/>
        <w:spacing w:after="20"/>
      </w:pPr>
      <w:r>
        <w:t>Idle optimizer: dynamic programming as MVP; RL only as an optional experiment.</w:t>
      </w:r>
    </w:p>
    <w:p>
      <w:pPr>
        <w:pStyle w:val="ListBullet"/>
        <w:spacing w:after="20"/>
      </w:pPr>
      <w:r>
        <w:t>Sensitivity engine: recompute forecast/recommendation under scenario perturbations.</w:t>
      </w:r>
    </w:p>
    <w:p>
      <w:pPr>
        <w:pStyle w:val="ListBullet"/>
        <w:spacing w:after="20"/>
      </w:pPr>
      <w:r>
        <w:t>Recommendation engine: converts forecast + risk + operational constraints into Buy/Wait/Avoid and savings estimates.</w:t>
      </w:r>
    </w:p>
    <w:p>
      <w:pPr>
        <w:pStyle w:val="Heading1"/>
      </w:pPr>
      <w:r>
        <w:t>9. Functional Requirements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7"/>
              </w:rPr>
              <w:t>ID</w:t>
            </w:r>
          </w:p>
        </w:tc>
        <w:tc>
          <w:tcPr>
            <w:tcW w:type="dxa" w:w="3360"/>
            <w:vAlign w:val="center"/>
            <w:shd w:fill="D9EAF7"/>
          </w:tcPr>
          <w:p>
            <w:r/>
            <w:r>
              <w:rPr>
                <w:b/>
                <w:sz w:val="17"/>
              </w:rPr>
              <w:t>Requirement</w:t>
            </w:r>
          </w:p>
        </w:tc>
        <w:tc>
          <w:tcPr>
            <w:tcW w:type="dxa" w:w="3360"/>
            <w:vAlign w:val="center"/>
            <w:shd w:fill="D9EAF7"/>
          </w:tcPr>
          <w:p>
            <w:r/>
            <w:r>
              <w:rPr>
                <w:b/>
                <w:sz w:val="17"/>
              </w:rPr>
              <w:t>Acceptance</w:t>
            </w:r>
          </w:p>
        </w:tc>
      </w:tr>
      <w:tr>
        <w:tc>
          <w:tcPr>
            <w:tcW w:type="dxa" w:w="3360"/>
            <w:vAlign w:val="center"/>
          </w:tcPr>
          <w:p>
            <w:r/>
            <w:r>
              <w:rPr>
                <w:b w:val="0"/>
                <w:sz w:val="17"/>
              </w:rPr>
              <w:t>FR-01</w:t>
            </w:r>
          </w:p>
        </w:tc>
        <w:tc>
          <w:tcPr>
            <w:tcW w:type="dxa" w:w="3360"/>
            <w:vAlign w:val="center"/>
          </w:tcPr>
          <w:p>
            <w:r/>
            <w:r>
              <w:rPr>
                <w:b w:val="0"/>
                <w:sz w:val="17"/>
              </w:rPr>
              <w:t>Route &amp; cargo selection</w:t>
            </w:r>
          </w:p>
        </w:tc>
        <w:tc>
          <w:tcPr>
            <w:tcW w:type="dxa" w:w="3360"/>
            <w:vAlign w:val="center"/>
          </w:tcPr>
          <w:p>
            <w:r/>
            <w:r>
              <w:rPr>
                <w:b w:val="0"/>
                <w:sz w:val="17"/>
              </w:rPr>
              <w:t>User selects origin, destination, commodity, and volume; auto-suggest supports route search.</w:t>
            </w:r>
          </w:p>
        </w:tc>
      </w:tr>
      <w:tr>
        <w:tc>
          <w:tcPr>
            <w:tcW w:type="dxa" w:w="3360"/>
            <w:vAlign w:val="center"/>
          </w:tcPr>
          <w:p>
            <w:r/>
            <w:r>
              <w:rPr>
                <w:b w:val="0"/>
                <w:sz w:val="17"/>
              </w:rPr>
              <w:t>FR-02</w:t>
            </w:r>
          </w:p>
        </w:tc>
        <w:tc>
          <w:tcPr>
            <w:tcW w:type="dxa" w:w="3360"/>
            <w:vAlign w:val="center"/>
          </w:tcPr>
          <w:p>
            <w:r/>
            <w:r>
              <w:rPr>
                <w:b w:val="0"/>
                <w:sz w:val="17"/>
              </w:rPr>
              <w:t>Freight forecast</w:t>
            </w:r>
          </w:p>
        </w:tc>
        <w:tc>
          <w:tcPr>
            <w:tcW w:type="dxa" w:w="3360"/>
            <w:vAlign w:val="center"/>
          </w:tcPr>
          <w:p>
            <w:r/>
            <w:r>
              <w:rPr>
                <w:b w:val="0"/>
                <w:sz w:val="17"/>
              </w:rPr>
              <w:t>Generate 14/30/90-day forecasts with 95% confidence bands.</w:t>
            </w:r>
          </w:p>
        </w:tc>
      </w:tr>
      <w:tr>
        <w:tc>
          <w:tcPr>
            <w:tcW w:type="dxa" w:w="3360"/>
            <w:vAlign w:val="center"/>
          </w:tcPr>
          <w:p>
            <w:r/>
            <w:r>
              <w:rPr>
                <w:b w:val="0"/>
                <w:sz w:val="17"/>
              </w:rPr>
              <w:t>FR-03</w:t>
            </w:r>
          </w:p>
        </w:tc>
        <w:tc>
          <w:tcPr>
            <w:tcW w:type="dxa" w:w="3360"/>
            <w:vAlign w:val="center"/>
          </w:tcPr>
          <w:p>
            <w:r/>
            <w:r>
              <w:rPr>
                <w:b w:val="0"/>
                <w:sz w:val="17"/>
              </w:rPr>
              <w:t>Market-entry recommendation</w:t>
            </w:r>
          </w:p>
        </w:tc>
        <w:tc>
          <w:tcPr>
            <w:tcW w:type="dxa" w:w="3360"/>
            <w:vAlign w:val="center"/>
          </w:tcPr>
          <w:p>
            <w:r/>
            <w:r>
              <w:rPr>
                <w:b w:val="0"/>
                <w:sz w:val="17"/>
              </w:rPr>
              <w:t>Show Buy Now / Wait X Days / Avoid Window with rationale and expected savings.</w:t>
            </w:r>
          </w:p>
        </w:tc>
      </w:tr>
      <w:tr>
        <w:tc>
          <w:tcPr>
            <w:tcW w:type="dxa" w:w="3360"/>
            <w:vAlign w:val="center"/>
          </w:tcPr>
          <w:p>
            <w:r/>
            <w:r>
              <w:rPr>
                <w:b w:val="0"/>
                <w:sz w:val="17"/>
              </w:rPr>
              <w:t>FR-04</w:t>
            </w:r>
          </w:p>
        </w:tc>
        <w:tc>
          <w:tcPr>
            <w:tcW w:type="dxa" w:w="3360"/>
            <w:vAlign w:val="center"/>
          </w:tcPr>
          <w:p>
            <w:r/>
            <w:r>
              <w:rPr>
                <w:b w:val="0"/>
                <w:sz w:val="17"/>
              </w:rPr>
              <w:t>Model transparency</w:t>
            </w:r>
          </w:p>
        </w:tc>
        <w:tc>
          <w:tcPr>
            <w:tcW w:type="dxa" w:w="3360"/>
            <w:vAlign w:val="center"/>
          </w:tcPr>
          <w:p>
            <w:r/>
            <w:r>
              <w:rPr>
                <w:b w:val="0"/>
                <w:sz w:val="17"/>
              </w:rPr>
              <w:t>Allow historical + Prophet/LSTM/XGBoost + ensemble views.</w:t>
            </w:r>
          </w:p>
        </w:tc>
      </w:tr>
      <w:tr>
        <w:tc>
          <w:tcPr>
            <w:tcW w:type="dxa" w:w="3360"/>
            <w:vAlign w:val="center"/>
          </w:tcPr>
          <w:p>
            <w:r/>
            <w:r>
              <w:rPr>
                <w:b w:val="0"/>
                <w:sz w:val="17"/>
              </w:rPr>
              <w:t>FR-05</w:t>
            </w:r>
          </w:p>
        </w:tc>
        <w:tc>
          <w:tcPr>
            <w:tcW w:type="dxa" w:w="3360"/>
            <w:vAlign w:val="center"/>
          </w:tcPr>
          <w:p>
            <w:r/>
            <w:r>
              <w:rPr>
                <w:b w:val="0"/>
                <w:sz w:val="17"/>
              </w:rPr>
              <w:t>Feature importance</w:t>
            </w:r>
          </w:p>
        </w:tc>
        <w:tc>
          <w:tcPr>
            <w:tcW w:type="dxa" w:w="3360"/>
            <w:vAlign w:val="center"/>
          </w:tcPr>
          <w:p>
            <w:r/>
            <w:r>
              <w:rPr>
                <w:b w:val="0"/>
                <w:sz w:val="17"/>
              </w:rPr>
              <w:t>Show top drivers such as fuel, congestion, commodity price, seasonality.</w:t>
            </w:r>
          </w:p>
        </w:tc>
      </w:tr>
      <w:tr>
        <w:tc>
          <w:tcPr>
            <w:tcW w:type="dxa" w:w="3360"/>
            <w:vAlign w:val="center"/>
          </w:tcPr>
          <w:p>
            <w:r/>
            <w:r>
              <w:rPr>
                <w:b w:val="0"/>
                <w:sz w:val="17"/>
              </w:rPr>
              <w:t>FR-06</w:t>
            </w:r>
          </w:p>
        </w:tc>
        <w:tc>
          <w:tcPr>
            <w:tcW w:type="dxa" w:w="3360"/>
            <w:vAlign w:val="center"/>
          </w:tcPr>
          <w:p>
            <w:r/>
            <w:r>
              <w:rPr>
                <w:b w:val="0"/>
                <w:sz w:val="17"/>
              </w:rPr>
              <w:t>Vessel recommendation</w:t>
            </w:r>
          </w:p>
        </w:tc>
        <w:tc>
          <w:tcPr>
            <w:tcW w:type="dxa" w:w="3360"/>
            <w:vAlign w:val="center"/>
          </w:tcPr>
          <w:p>
            <w:r/>
            <w:r>
              <w:rPr>
                <w:b w:val="0"/>
                <w:sz w:val="17"/>
              </w:rPr>
              <w:t>Rank feasible vessel classes and expose cost/port-fit breakdown.</w:t>
            </w:r>
          </w:p>
        </w:tc>
      </w:tr>
      <w:tr>
        <w:tc>
          <w:tcPr>
            <w:tcW w:type="dxa" w:w="3360"/>
            <w:vAlign w:val="center"/>
          </w:tcPr>
          <w:p>
            <w:r/>
            <w:r>
              <w:rPr>
                <w:b w:val="0"/>
                <w:sz w:val="17"/>
              </w:rPr>
              <w:t>FR-07</w:t>
            </w:r>
          </w:p>
        </w:tc>
        <w:tc>
          <w:tcPr>
            <w:tcW w:type="dxa" w:w="3360"/>
            <w:vAlign w:val="center"/>
          </w:tcPr>
          <w:p>
            <w:r/>
            <w:r>
              <w:rPr>
                <w:b w:val="0"/>
                <w:sz w:val="17"/>
              </w:rPr>
              <w:t>Port constraints</w:t>
            </w:r>
          </w:p>
        </w:tc>
        <w:tc>
          <w:tcPr>
            <w:tcW w:type="dxa" w:w="3360"/>
            <w:vAlign w:val="center"/>
          </w:tcPr>
          <w:p>
            <w:r/>
            <w:r>
              <w:rPr>
                <w:b w:val="0"/>
                <w:sz w:val="17"/>
              </w:rPr>
              <w:t>Filter vessels that violate draft, LOA, beam, or cargo-capacity limits.</w:t>
            </w:r>
          </w:p>
        </w:tc>
      </w:tr>
      <w:tr>
        <w:tc>
          <w:tcPr>
            <w:tcW w:type="dxa" w:w="3360"/>
            <w:vAlign w:val="center"/>
          </w:tcPr>
          <w:p>
            <w:r/>
            <w:r>
              <w:rPr>
                <w:b w:val="0"/>
                <w:sz w:val="17"/>
              </w:rPr>
              <w:t>FR-08</w:t>
            </w:r>
          </w:p>
        </w:tc>
        <w:tc>
          <w:tcPr>
            <w:tcW w:type="dxa" w:w="3360"/>
            <w:vAlign w:val="center"/>
          </w:tcPr>
          <w:p>
            <w:r/>
            <w:r>
              <w:rPr>
                <w:b w:val="0"/>
                <w:sz w:val="17"/>
              </w:rPr>
              <w:t>Multi-voyage optimization</w:t>
            </w:r>
          </w:p>
        </w:tc>
        <w:tc>
          <w:tcPr>
            <w:tcW w:type="dxa" w:w="3360"/>
            <w:vAlign w:val="center"/>
          </w:tcPr>
          <w:p>
            <w:r/>
            <w:r>
              <w:rPr>
                <w:b w:val="0"/>
                <w:sz w:val="17"/>
              </w:rPr>
              <w:t>Generate coordinated voyage/contract plan and idle estimate.</w:t>
            </w:r>
          </w:p>
        </w:tc>
      </w:tr>
      <w:tr>
        <w:tc>
          <w:tcPr>
            <w:tcW w:type="dxa" w:w="3360"/>
            <w:vAlign w:val="center"/>
          </w:tcPr>
          <w:p>
            <w:r/>
            <w:r>
              <w:rPr>
                <w:b w:val="0"/>
                <w:sz w:val="17"/>
              </w:rPr>
              <w:t>FR-09</w:t>
            </w:r>
          </w:p>
        </w:tc>
        <w:tc>
          <w:tcPr>
            <w:tcW w:type="dxa" w:w="3360"/>
            <w:vAlign w:val="center"/>
          </w:tcPr>
          <w:p>
            <w:r/>
            <w:r>
              <w:rPr>
                <w:b w:val="0"/>
                <w:sz w:val="17"/>
              </w:rPr>
              <w:t>Sensitivity analysis</w:t>
            </w:r>
          </w:p>
        </w:tc>
        <w:tc>
          <w:tcPr>
            <w:tcW w:type="dxa" w:w="3360"/>
            <w:vAlign w:val="center"/>
          </w:tcPr>
          <w:p>
            <w:r/>
            <w:r>
              <w:rPr>
                <w:b w:val="0"/>
                <w:sz w:val="17"/>
              </w:rPr>
              <w:t>Update forecast and recommendation under user-defined scenarios.</w:t>
            </w:r>
          </w:p>
        </w:tc>
      </w:tr>
      <w:tr>
        <w:tc>
          <w:tcPr>
            <w:tcW w:type="dxa" w:w="3360"/>
            <w:vAlign w:val="center"/>
          </w:tcPr>
          <w:p>
            <w:r/>
            <w:r>
              <w:rPr>
                <w:b w:val="0"/>
                <w:sz w:val="17"/>
              </w:rPr>
              <w:t>FR-10</w:t>
            </w:r>
          </w:p>
        </w:tc>
        <w:tc>
          <w:tcPr>
            <w:tcW w:type="dxa" w:w="3360"/>
            <w:vAlign w:val="center"/>
          </w:tcPr>
          <w:p>
            <w:r/>
            <w:r>
              <w:rPr>
                <w:b w:val="0"/>
                <w:sz w:val="17"/>
              </w:rPr>
              <w:t>Historical analysis</w:t>
            </w:r>
          </w:p>
        </w:tc>
        <w:tc>
          <w:tcPr>
            <w:tcW w:type="dxa" w:w="3360"/>
            <w:vAlign w:val="center"/>
          </w:tcPr>
          <w:p>
            <w:r/>
            <w:r>
              <w:rPr>
                <w:b w:val="0"/>
                <w:sz w:val="17"/>
              </w:rPr>
              <w:t>Display historical route rates for selected dates/granularity.</w:t>
            </w:r>
          </w:p>
        </w:tc>
      </w:tr>
      <w:tr>
        <w:tc>
          <w:tcPr>
            <w:tcW w:type="dxa" w:w="3360"/>
            <w:vAlign w:val="center"/>
          </w:tcPr>
          <w:p>
            <w:r/>
            <w:r>
              <w:rPr>
                <w:b w:val="0"/>
                <w:sz w:val="17"/>
              </w:rPr>
              <w:t>FR-11</w:t>
            </w:r>
          </w:p>
        </w:tc>
        <w:tc>
          <w:tcPr>
            <w:tcW w:type="dxa" w:w="3360"/>
            <w:vAlign w:val="center"/>
          </w:tcPr>
          <w:p>
            <w:r/>
            <w:r>
              <w:rPr>
                <w:b w:val="0"/>
                <w:sz w:val="17"/>
              </w:rPr>
              <w:t>Origin availability</w:t>
            </w:r>
          </w:p>
        </w:tc>
        <w:tc>
          <w:tcPr>
            <w:tcW w:type="dxa" w:w="3360"/>
            <w:vAlign w:val="center"/>
          </w:tcPr>
          <w:p>
            <w:r/>
            <w:r>
              <w:rPr>
                <w:b w:val="0"/>
                <w:sz w:val="17"/>
              </w:rPr>
              <w:t>Expose commodity availability forecasts by origin where data exists.</w:t>
            </w:r>
          </w:p>
        </w:tc>
      </w:tr>
      <w:tr>
        <w:tc>
          <w:tcPr>
            <w:tcW w:type="dxa" w:w="3360"/>
            <w:vAlign w:val="center"/>
          </w:tcPr>
          <w:p>
            <w:r/>
            <w:r>
              <w:rPr>
                <w:b w:val="0"/>
                <w:sz w:val="17"/>
              </w:rPr>
              <w:t>FR-12</w:t>
            </w:r>
          </w:p>
        </w:tc>
        <w:tc>
          <w:tcPr>
            <w:tcW w:type="dxa" w:w="3360"/>
            <w:vAlign w:val="center"/>
          </w:tcPr>
          <w:p>
            <w:r/>
            <w:r>
              <w:rPr>
                <w:b w:val="0"/>
                <w:sz w:val="17"/>
              </w:rPr>
              <w:t>Operational fallback</w:t>
            </w:r>
          </w:p>
        </w:tc>
        <w:tc>
          <w:tcPr>
            <w:tcW w:type="dxa" w:w="3360"/>
            <w:vAlign w:val="center"/>
          </w:tcPr>
          <w:p>
            <w:r/>
            <w:r>
              <w:rPr>
                <w:b w:val="0"/>
                <w:sz w:val="17"/>
              </w:rPr>
              <w:t>Allow a local/canned dataset and precomputed predictions for offline demo.</w:t>
            </w:r>
          </w:p>
        </w:tc>
      </w:tr>
    </w:tbl>
    <w:p>
      <w:pPr>
        <w:spacing w:after="40"/>
      </w:pPr>
    </w:p>
    <w:p>
      <w:pPr>
        <w:pStyle w:val="Heading1"/>
      </w:pPr>
      <w:r>
        <w:t>10. API Specification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7"/>
              </w:rPr>
              <w:t>Method</w:t>
            </w:r>
          </w:p>
        </w:tc>
        <w:tc>
          <w:tcPr>
            <w:tcW w:type="dxa" w:w="3360"/>
            <w:vAlign w:val="center"/>
            <w:shd w:fill="D9EAF7"/>
          </w:tcPr>
          <w:p>
            <w:r/>
            <w:r>
              <w:rPr>
                <w:b/>
                <w:sz w:val="17"/>
              </w:rPr>
              <w:t>Endpoint</w:t>
            </w:r>
          </w:p>
        </w:tc>
        <w:tc>
          <w:tcPr>
            <w:tcW w:type="dxa" w:w="3360"/>
            <w:vAlign w:val="center"/>
            <w:shd w:fill="D9EAF7"/>
          </w:tcPr>
          <w:p>
            <w:r/>
            <w:r>
              <w:rPr>
                <w:b/>
                <w:sz w:val="17"/>
              </w:rPr>
              <w:t>Purpose</w:t>
            </w:r>
          </w:p>
        </w:tc>
      </w:tr>
      <w:tr>
        <w:tc>
          <w:tcPr>
            <w:tcW w:type="dxa" w:w="3360"/>
            <w:vAlign w:val="center"/>
          </w:tcPr>
          <w:p>
            <w:r/>
            <w:r>
              <w:rPr>
                <w:b w:val="0"/>
                <w:sz w:val="17"/>
              </w:rPr>
              <w:t>POST</w:t>
            </w:r>
          </w:p>
        </w:tc>
        <w:tc>
          <w:tcPr>
            <w:tcW w:type="dxa" w:w="3360"/>
            <w:vAlign w:val="center"/>
          </w:tcPr>
          <w:p>
            <w:r/>
            <w:r>
              <w:rPr>
                <w:b w:val="0"/>
                <w:sz w:val="17"/>
              </w:rPr>
              <w:t>/api/v1/forecast</w:t>
            </w:r>
          </w:p>
        </w:tc>
        <w:tc>
          <w:tcPr>
            <w:tcW w:type="dxa" w:w="3360"/>
            <w:vAlign w:val="center"/>
          </w:tcPr>
          <w:p>
            <w:r/>
            <w:r>
              <w:rPr>
                <w:b w:val="0"/>
                <w:sz w:val="17"/>
              </w:rPr>
              <w:t>Forecast route/commodity/volume for selected horizon; return rate, CI, recommendation, factors.</w:t>
            </w:r>
          </w:p>
        </w:tc>
      </w:tr>
      <w:tr>
        <w:tc>
          <w:tcPr>
            <w:tcW w:type="dxa" w:w="3360"/>
            <w:vAlign w:val="center"/>
          </w:tcPr>
          <w:p>
            <w:r/>
            <w:r>
              <w:rPr>
                <w:b w:val="0"/>
                <w:sz w:val="17"/>
              </w:rPr>
              <w:t>GET</w:t>
            </w:r>
          </w:p>
        </w:tc>
        <w:tc>
          <w:tcPr>
            <w:tcW w:type="dxa" w:w="3360"/>
            <w:vAlign w:val="center"/>
          </w:tcPr>
          <w:p>
            <w:r/>
            <w:r>
              <w:rPr>
                <w:b w:val="0"/>
                <w:sz w:val="17"/>
              </w:rPr>
              <w:t>/api/v1/historical-rates</w:t>
            </w:r>
          </w:p>
        </w:tc>
        <w:tc>
          <w:tcPr>
            <w:tcW w:type="dxa" w:w="3360"/>
            <w:vAlign w:val="center"/>
          </w:tcPr>
          <w:p>
            <w:r/>
            <w:r>
              <w:rPr>
                <w:b w:val="0"/>
                <w:sz w:val="17"/>
              </w:rPr>
              <w:t>Historical time series by route, commodity, date range, granularity.</w:t>
            </w:r>
          </w:p>
        </w:tc>
      </w:tr>
      <w:tr>
        <w:tc>
          <w:tcPr>
            <w:tcW w:type="dxa" w:w="3360"/>
            <w:vAlign w:val="center"/>
          </w:tcPr>
          <w:p>
            <w:r/>
            <w:r>
              <w:rPr>
                <w:b w:val="0"/>
                <w:sz w:val="17"/>
              </w:rPr>
              <w:t>GET</w:t>
            </w:r>
          </w:p>
        </w:tc>
        <w:tc>
          <w:tcPr>
            <w:tcW w:type="dxa" w:w="3360"/>
            <w:vAlign w:val="center"/>
          </w:tcPr>
          <w:p>
            <w:r/>
            <w:r>
              <w:rPr>
                <w:b w:val="0"/>
                <w:sz w:val="17"/>
              </w:rPr>
              <w:t>/api/v1/routes</w:t>
            </w:r>
          </w:p>
        </w:tc>
        <w:tc>
          <w:tcPr>
            <w:tcW w:type="dxa" w:w="3360"/>
            <w:vAlign w:val="center"/>
          </w:tcPr>
          <w:p>
            <w:r/>
            <w:r>
              <w:rPr>
                <w:b w:val="0"/>
                <w:sz w:val="17"/>
              </w:rPr>
              <w:t>Supported origin-destination routes and commodities.</w:t>
            </w:r>
          </w:p>
        </w:tc>
      </w:tr>
      <w:tr>
        <w:tc>
          <w:tcPr>
            <w:tcW w:type="dxa" w:w="3360"/>
            <w:vAlign w:val="center"/>
          </w:tcPr>
          <w:p>
            <w:r/>
            <w:r>
              <w:rPr>
                <w:b w:val="0"/>
                <w:sz w:val="17"/>
              </w:rPr>
              <w:t>POST</w:t>
            </w:r>
          </w:p>
        </w:tc>
        <w:tc>
          <w:tcPr>
            <w:tcW w:type="dxa" w:w="3360"/>
            <w:vAlign w:val="center"/>
          </w:tcPr>
          <w:p>
            <w:r/>
            <w:r>
              <w:rPr>
                <w:b w:val="0"/>
                <w:sz w:val="17"/>
              </w:rPr>
              <w:t>/api/v1/procurement-recommendation</w:t>
            </w:r>
          </w:p>
        </w:tc>
        <w:tc>
          <w:tcPr>
            <w:tcW w:type="dxa" w:w="3360"/>
            <w:vAlign w:val="center"/>
          </w:tcPr>
          <w:p>
            <w:r/>
            <w:r>
              <w:rPr>
                <w:b w:val="0"/>
                <w:sz w:val="17"/>
              </w:rPr>
              <w:t>Optimize procurement timing under budget, commodities, timeline, and risk tolerance.</w:t>
            </w:r>
          </w:p>
        </w:tc>
      </w:tr>
      <w:tr>
        <w:tc>
          <w:tcPr>
            <w:tcW w:type="dxa" w:w="3360"/>
            <w:vAlign w:val="center"/>
          </w:tcPr>
          <w:p>
            <w:r/>
            <w:r>
              <w:rPr>
                <w:b w:val="0"/>
                <w:sz w:val="17"/>
              </w:rPr>
              <w:t>POST</w:t>
            </w:r>
          </w:p>
        </w:tc>
        <w:tc>
          <w:tcPr>
            <w:tcW w:type="dxa" w:w="3360"/>
            <w:vAlign w:val="center"/>
          </w:tcPr>
          <w:p>
            <w:r/>
            <w:r>
              <w:rPr>
                <w:b w:val="0"/>
                <w:sz w:val="17"/>
              </w:rPr>
              <w:t>/api/v1/vessel-recommendation</w:t>
            </w:r>
          </w:p>
        </w:tc>
        <w:tc>
          <w:tcPr>
            <w:tcW w:type="dxa" w:w="3360"/>
            <w:vAlign w:val="center"/>
          </w:tcPr>
          <w:p>
            <w:r/>
            <w:r>
              <w:rPr>
                <w:b w:val="0"/>
                <w:sz w:val="17"/>
              </w:rPr>
              <w:t>Rank vessel types with cost breakdown and port fit.</w:t>
            </w:r>
          </w:p>
        </w:tc>
      </w:tr>
      <w:tr>
        <w:tc>
          <w:tcPr>
            <w:tcW w:type="dxa" w:w="3360"/>
            <w:vAlign w:val="center"/>
          </w:tcPr>
          <w:p>
            <w:r/>
            <w:r>
              <w:rPr>
                <w:b w:val="0"/>
                <w:sz w:val="17"/>
              </w:rPr>
              <w:t>POST</w:t>
            </w:r>
          </w:p>
        </w:tc>
        <w:tc>
          <w:tcPr>
            <w:tcW w:type="dxa" w:w="3360"/>
            <w:vAlign w:val="center"/>
          </w:tcPr>
          <w:p>
            <w:r/>
            <w:r>
              <w:rPr>
                <w:b w:val="0"/>
                <w:sz w:val="17"/>
              </w:rPr>
              <w:t>/api/v1/multi-voyage-optimization</w:t>
            </w:r>
          </w:p>
        </w:tc>
        <w:tc>
          <w:tcPr>
            <w:tcW w:type="dxa" w:w="3360"/>
            <w:vAlign w:val="center"/>
          </w:tcPr>
          <w:p>
            <w:r/>
            <w:r>
              <w:rPr>
                <w:b w:val="0"/>
                <w:sz w:val="17"/>
              </w:rPr>
              <w:t>Bundle procurement/voyages; return schedule + idle forecast.</w:t>
            </w:r>
          </w:p>
        </w:tc>
      </w:tr>
      <w:tr>
        <w:tc>
          <w:tcPr>
            <w:tcW w:type="dxa" w:w="3360"/>
            <w:vAlign w:val="center"/>
          </w:tcPr>
          <w:p>
            <w:r/>
            <w:r>
              <w:rPr>
                <w:b w:val="0"/>
                <w:sz w:val="17"/>
              </w:rPr>
              <w:t>GET</w:t>
            </w:r>
          </w:p>
        </w:tc>
        <w:tc>
          <w:tcPr>
            <w:tcW w:type="dxa" w:w="3360"/>
            <w:vAlign w:val="center"/>
          </w:tcPr>
          <w:p>
            <w:r/>
            <w:r>
              <w:rPr>
                <w:b w:val="0"/>
                <w:sz w:val="17"/>
              </w:rPr>
              <w:t>/api/v1/port-constraints?port=paradip</w:t>
            </w:r>
          </w:p>
        </w:tc>
        <w:tc>
          <w:tcPr>
            <w:tcW w:type="dxa" w:w="3360"/>
            <w:vAlign w:val="center"/>
          </w:tcPr>
          <w:p>
            <w:r/>
            <w:r>
              <w:rPr>
                <w:b w:val="0"/>
                <w:sz w:val="17"/>
              </w:rPr>
              <w:t>Return draft, LOA, beam, congestion score, queue length.</w:t>
            </w:r>
          </w:p>
        </w:tc>
      </w:tr>
      <w:tr>
        <w:tc>
          <w:tcPr>
            <w:tcW w:type="dxa" w:w="3360"/>
            <w:vAlign w:val="center"/>
          </w:tcPr>
          <w:p>
            <w:r/>
            <w:r>
              <w:rPr>
                <w:b w:val="0"/>
                <w:sz w:val="17"/>
              </w:rPr>
              <w:t>POST</w:t>
            </w:r>
          </w:p>
        </w:tc>
        <w:tc>
          <w:tcPr>
            <w:tcW w:type="dxa" w:w="3360"/>
            <w:vAlign w:val="center"/>
          </w:tcPr>
          <w:p>
            <w:r/>
            <w:r>
              <w:rPr>
                <w:b w:val="0"/>
                <w:sz w:val="17"/>
              </w:rPr>
              <w:t>/api/v1/sensitivity-analysis</w:t>
            </w:r>
          </w:p>
        </w:tc>
        <w:tc>
          <w:tcPr>
            <w:tcW w:type="dxa" w:w="3360"/>
            <w:vAlign w:val="center"/>
          </w:tcPr>
          <w:p>
            <w:r/>
            <w:r>
              <w:rPr>
                <w:b w:val="0"/>
                <w:sz w:val="17"/>
              </w:rPr>
              <w:t>Live what-if recalculation.</w:t>
            </w:r>
          </w:p>
        </w:tc>
      </w:tr>
      <w:tr>
        <w:tc>
          <w:tcPr>
            <w:tcW w:type="dxa" w:w="3360"/>
            <w:vAlign w:val="center"/>
          </w:tcPr>
          <w:p>
            <w:r/>
            <w:r>
              <w:rPr>
                <w:b w:val="0"/>
                <w:sz w:val="17"/>
              </w:rPr>
              <w:t>GET</w:t>
            </w:r>
          </w:p>
        </w:tc>
        <w:tc>
          <w:tcPr>
            <w:tcW w:type="dxa" w:w="3360"/>
            <w:vAlign w:val="center"/>
          </w:tcPr>
          <w:p>
            <w:r/>
            <w:r>
              <w:rPr>
                <w:b w:val="0"/>
                <w:sz w:val="17"/>
              </w:rPr>
              <w:t>/api/v1/origins/available</w:t>
            </w:r>
          </w:p>
        </w:tc>
        <w:tc>
          <w:tcPr>
            <w:tcW w:type="dxa" w:w="3360"/>
            <w:vAlign w:val="center"/>
          </w:tcPr>
          <w:p>
            <w:r/>
            <w:r>
              <w:rPr>
                <w:b w:val="0"/>
                <w:sz w:val="17"/>
              </w:rPr>
              <w:t>Commodity supply/availability forecast by origin.</w:t>
            </w:r>
          </w:p>
        </w:tc>
      </w:tr>
    </w:tbl>
    <w:p>
      <w:pPr>
        <w:spacing w:after="40"/>
      </w:pPr>
    </w:p>
    <w:p>
      <w:pPr>
        <w:pStyle w:val="Heading2"/>
      </w:pPr>
      <w:r>
        <w:t>10.1 Example Forecast Contract</w:t>
      </w:r>
    </w:p>
    <w:p>
      <w:pPr>
        <w:spacing w:after="80"/>
      </w:pPr>
      <w:r>
        <w:t>Request: {"route":"Paradip-Rotterdam","commodity":"iron_ore","volume_tonnes":50000,"forecast_horizon_days":30}</w:t>
      </w:r>
    </w:p>
    <w:p>
      <w:pPr>
        <w:spacing w:after="80"/>
      </w:pPr>
      <w:r>
        <w:t>Response: {"predicted_rate_usd_per_tonne":28.50,"confidence_interval":[27.2,29.8],"recommendation":"Optimal time to procure","factors":{"fuel_price_impact":0.45,"seasonality":0.30,"congestion":0.15,"commodity_price":0.10}}</w:t>
      </w:r>
    </w:p>
    <w:p>
      <w:pPr>
        <w:pStyle w:val="Heading2"/>
      </w:pPr>
      <w:r>
        <w:t>10.2 API Non-Functional Requirements</w:t>
      </w:r>
    </w:p>
    <w:p>
      <w:pPr>
        <w:pStyle w:val="ListBullet"/>
        <w:spacing w:after="20"/>
      </w:pPr>
      <w:r>
        <w:t>p95 forecast latency &lt;500 ms for a single request.</w:t>
      </w:r>
    </w:p>
    <w:p>
      <w:pPr>
        <w:pStyle w:val="ListBullet"/>
        <w:spacing w:after="20"/>
      </w:pPr>
      <w:r>
        <w:t>100+ concurrent forecast requests as a load-test target.</w:t>
      </w:r>
    </w:p>
    <w:p>
      <w:pPr>
        <w:pStyle w:val="ListBullet"/>
        <w:spacing w:after="20"/>
      </w:pPr>
      <w:r>
        <w:t>Meaningful validation and error responses; no unhandled 500 errors.</w:t>
      </w:r>
    </w:p>
    <w:p>
      <w:pPr>
        <w:pStyle w:val="ListBullet"/>
        <w:spacing w:after="20"/>
      </w:pPr>
      <w:r>
        <w:t>Structured logging of forecast inputs, outputs, timestamps, model version, and scenario.</w:t>
      </w:r>
    </w:p>
    <w:p>
      <w:pPr>
        <w:pStyle w:val="ListBullet"/>
        <w:spacing w:after="20"/>
      </w:pPr>
      <w:r>
        <w:t>Swagger/OpenAPI documentation generated by FastAPI.</w:t>
      </w:r>
    </w:p>
    <w:p>
      <w:pPr>
        <w:pStyle w:val="Heading1"/>
      </w:pPr>
      <w:r>
        <w:t>11. Frontend / Dashboard Requirements</w:t>
      </w:r>
    </w:p>
    <w:p>
      <w:pPr>
        <w:pStyle w:val="ListBullet"/>
        <w:spacing w:after="20"/>
      </w:pPr>
      <w:r>
        <w:t>Route selector with origin, destination, commodity, and volume.</w:t>
      </w:r>
    </w:p>
    <w:p>
      <w:pPr>
        <w:pStyle w:val="ListBullet"/>
        <w:spacing w:after="20"/>
      </w:pPr>
      <w:r>
        <w:t>90-day interactive forecast chart with historical data, confidence bands, and model toggles.</w:t>
      </w:r>
    </w:p>
    <w:p>
      <w:pPr>
        <w:pStyle w:val="ListBullet"/>
        <w:spacing w:after="20"/>
      </w:pPr>
      <w:r>
        <w:t>Recommendation panel showing today's optimal action, rationale, expected savings, and risk.</w:t>
      </w:r>
    </w:p>
    <w:p>
      <w:pPr>
        <w:pStyle w:val="ListBullet"/>
        <w:spacing w:after="20"/>
      </w:pPr>
      <w:r>
        <w:t>Feature-importance / driver chart; SHAP view where feasible.</w:t>
      </w:r>
    </w:p>
    <w:p>
      <w:pPr>
        <w:pStyle w:val="ListBullet"/>
        <w:spacing w:after="20"/>
      </w:pPr>
      <w:r>
        <w:t>Vessel ranking table with feasibility badges and cost breakdown.</w:t>
      </w:r>
    </w:p>
    <w:p>
      <w:pPr>
        <w:pStyle w:val="ListBullet"/>
        <w:spacing w:after="20"/>
      </w:pPr>
      <w:r>
        <w:t>Port-constraint panel showing draft, LOA, beam, queue, congestion score.</w:t>
      </w:r>
    </w:p>
    <w:p>
      <w:pPr>
        <w:pStyle w:val="ListBullet"/>
        <w:spacing w:after="20"/>
      </w:pPr>
      <w:r>
        <w:t>Idle-risk heat map and multi-voyage Gantt chart with idle periods flagged.</w:t>
      </w:r>
    </w:p>
    <w:p>
      <w:pPr>
        <w:pStyle w:val="ListBullet"/>
        <w:spacing w:after="20"/>
      </w:pPr>
      <w:r>
        <w:t>Sensitivity sliders for fuel, congestion, commodity price, seasonality/monsoon, and deadline.</w:t>
      </w:r>
    </w:p>
    <w:p>
      <w:pPr>
        <w:pStyle w:val="ListBullet"/>
        <w:spacing w:after="20"/>
      </w:pPr>
      <w:r>
        <w:t>Procurement optimizer form: budget, commodities, timeline, risk tolerance.</w:t>
      </w:r>
    </w:p>
    <w:p>
      <w:pPr>
        <w:pStyle w:val="ListBullet"/>
        <w:spacing w:after="20"/>
      </w:pPr>
      <w:r>
        <w:t>Responsive TailwindCSS layout for desktop/tablet/mobile.</w:t>
      </w:r>
    </w:p>
    <w:p>
      <w:pPr>
        <w:pStyle w:val="Heading1"/>
      </w:pPr>
      <w:r>
        <w:t>12. Technology Stack &amp; Architecture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7"/>
              </w:rPr>
              <w:t>Layer</w:t>
            </w:r>
          </w:p>
        </w:tc>
        <w:tc>
          <w:tcPr>
            <w:tcW w:type="dxa" w:w="3360"/>
            <w:vAlign w:val="center"/>
            <w:shd w:fill="D9EAF7"/>
          </w:tcPr>
          <w:p>
            <w:r/>
            <w:r>
              <w:rPr>
                <w:b/>
                <w:sz w:val="17"/>
              </w:rPr>
              <w:t>Technology</w:t>
            </w:r>
          </w:p>
        </w:tc>
        <w:tc>
          <w:tcPr>
            <w:tcW w:type="dxa" w:w="3360"/>
            <w:vAlign w:val="center"/>
            <w:shd w:fill="D9EAF7"/>
          </w:tcPr>
          <w:p>
            <w:r/>
            <w:r>
              <w:rPr>
                <w:b/>
                <w:sz w:val="17"/>
              </w:rPr>
              <w:t>Purpose</w:t>
            </w:r>
          </w:p>
        </w:tc>
      </w:tr>
      <w:tr>
        <w:tc>
          <w:tcPr>
            <w:tcW w:type="dxa" w:w="3360"/>
            <w:vAlign w:val="center"/>
          </w:tcPr>
          <w:p>
            <w:r/>
            <w:r>
              <w:rPr>
                <w:b w:val="0"/>
                <w:sz w:val="17"/>
              </w:rPr>
              <w:t>Frontend</w:t>
            </w:r>
          </w:p>
        </w:tc>
        <w:tc>
          <w:tcPr>
            <w:tcW w:type="dxa" w:w="3360"/>
            <w:vAlign w:val="center"/>
          </w:tcPr>
          <w:p>
            <w:r/>
            <w:r>
              <w:rPr>
                <w:b w:val="0"/>
                <w:sz w:val="17"/>
              </w:rPr>
              <w:t>React 18, TailwindCSS, Recharts, Axios</w:t>
            </w:r>
          </w:p>
        </w:tc>
        <w:tc>
          <w:tcPr>
            <w:tcW w:type="dxa" w:w="3360"/>
            <w:vAlign w:val="center"/>
          </w:tcPr>
          <w:p>
            <w:r/>
            <w:r>
              <w:rPr>
                <w:b w:val="0"/>
                <w:sz w:val="17"/>
              </w:rPr>
              <w:t>Dashboard, charts, interactions.</w:t>
            </w:r>
          </w:p>
        </w:tc>
      </w:tr>
      <w:tr>
        <w:tc>
          <w:tcPr>
            <w:tcW w:type="dxa" w:w="3360"/>
            <w:vAlign w:val="center"/>
          </w:tcPr>
          <w:p>
            <w:r/>
            <w:r>
              <w:rPr>
                <w:b w:val="0"/>
                <w:sz w:val="17"/>
              </w:rPr>
              <w:t>Backend</w:t>
            </w:r>
          </w:p>
        </w:tc>
        <w:tc>
          <w:tcPr>
            <w:tcW w:type="dxa" w:w="3360"/>
            <w:vAlign w:val="center"/>
          </w:tcPr>
          <w:p>
            <w:r/>
            <w:r>
              <w:rPr>
                <w:b w:val="0"/>
                <w:sz w:val="17"/>
              </w:rPr>
              <w:t>FastAPI, Uvicorn, Pydantic</w:t>
            </w:r>
          </w:p>
        </w:tc>
        <w:tc>
          <w:tcPr>
            <w:tcW w:type="dxa" w:w="3360"/>
            <w:vAlign w:val="center"/>
          </w:tcPr>
          <w:p>
            <w:r/>
            <w:r>
              <w:rPr>
                <w:b w:val="0"/>
                <w:sz w:val="17"/>
              </w:rPr>
              <w:t>Async API, validation, inference.</w:t>
            </w:r>
          </w:p>
        </w:tc>
      </w:tr>
      <w:tr>
        <w:tc>
          <w:tcPr>
            <w:tcW w:type="dxa" w:w="3360"/>
            <w:vAlign w:val="center"/>
          </w:tcPr>
          <w:p>
            <w:r/>
            <w:r>
              <w:rPr>
                <w:b w:val="0"/>
                <w:sz w:val="17"/>
              </w:rPr>
              <w:t>Forecasting</w:t>
            </w:r>
          </w:p>
        </w:tc>
        <w:tc>
          <w:tcPr>
            <w:tcW w:type="dxa" w:w="3360"/>
            <w:vAlign w:val="center"/>
          </w:tcPr>
          <w:p>
            <w:r/>
            <w:r>
              <w:rPr>
                <w:b w:val="0"/>
                <w:sz w:val="17"/>
              </w:rPr>
              <w:t>Prophet, TensorFlow/PyTorch, XGBoost, scikit-learn</w:t>
            </w:r>
          </w:p>
        </w:tc>
        <w:tc>
          <w:tcPr>
            <w:tcW w:type="dxa" w:w="3360"/>
            <w:vAlign w:val="center"/>
          </w:tcPr>
          <w:p>
            <w:r/>
            <w:r>
              <w:rPr>
                <w:b w:val="0"/>
                <w:sz w:val="17"/>
              </w:rPr>
              <w:t>Forecast + ranking models.</w:t>
            </w:r>
          </w:p>
        </w:tc>
      </w:tr>
      <w:tr>
        <w:tc>
          <w:tcPr>
            <w:tcW w:type="dxa" w:w="3360"/>
            <w:vAlign w:val="center"/>
          </w:tcPr>
          <w:p>
            <w:r/>
            <w:r>
              <w:rPr>
                <w:b w:val="0"/>
                <w:sz w:val="17"/>
              </w:rPr>
              <w:t>Optimization</w:t>
            </w:r>
          </w:p>
        </w:tc>
        <w:tc>
          <w:tcPr>
            <w:tcW w:type="dxa" w:w="3360"/>
            <w:vAlign w:val="center"/>
          </w:tcPr>
          <w:p>
            <w:r/>
            <w:r>
              <w:rPr>
                <w:b w:val="0"/>
                <w:sz w:val="17"/>
              </w:rPr>
              <w:t>Python DP; optional RL</w:t>
            </w:r>
          </w:p>
        </w:tc>
        <w:tc>
          <w:tcPr>
            <w:tcW w:type="dxa" w:w="3360"/>
            <w:vAlign w:val="center"/>
          </w:tcPr>
          <w:p>
            <w:r/>
            <w:r>
              <w:rPr>
                <w:b w:val="0"/>
                <w:sz w:val="17"/>
              </w:rPr>
              <w:t>Multi-voyage bundling.</w:t>
            </w:r>
          </w:p>
        </w:tc>
      </w:tr>
      <w:tr>
        <w:tc>
          <w:tcPr>
            <w:tcW w:type="dxa" w:w="3360"/>
            <w:vAlign w:val="center"/>
          </w:tcPr>
          <w:p>
            <w:r/>
            <w:r>
              <w:rPr>
                <w:b w:val="0"/>
                <w:sz w:val="17"/>
              </w:rPr>
              <w:t>Data</w:t>
            </w:r>
          </w:p>
        </w:tc>
        <w:tc>
          <w:tcPr>
            <w:tcW w:type="dxa" w:w="3360"/>
            <w:vAlign w:val="center"/>
          </w:tcPr>
          <w:p>
            <w:r/>
            <w:r>
              <w:rPr>
                <w:b w:val="0"/>
                <w:sz w:val="17"/>
              </w:rPr>
              <w:t>PostgreSQL + TimescaleDB</w:t>
            </w:r>
          </w:p>
        </w:tc>
        <w:tc>
          <w:tcPr>
            <w:tcW w:type="dxa" w:w="3360"/>
            <w:vAlign w:val="center"/>
          </w:tcPr>
          <w:p>
            <w:r/>
            <w:r>
              <w:rPr>
                <w:b w:val="0"/>
                <w:sz w:val="17"/>
              </w:rPr>
              <w:t>Transactional + time-series storage.</w:t>
            </w:r>
          </w:p>
        </w:tc>
      </w:tr>
      <w:tr>
        <w:tc>
          <w:tcPr>
            <w:tcW w:type="dxa" w:w="3360"/>
            <w:vAlign w:val="center"/>
          </w:tcPr>
          <w:p>
            <w:r/>
            <w:r>
              <w:rPr>
                <w:b w:val="0"/>
                <w:sz w:val="17"/>
              </w:rPr>
              <w:t>Cache</w:t>
            </w:r>
          </w:p>
        </w:tc>
        <w:tc>
          <w:tcPr>
            <w:tcW w:type="dxa" w:w="3360"/>
            <w:vAlign w:val="center"/>
          </w:tcPr>
          <w:p>
            <w:r/>
            <w:r>
              <w:rPr>
                <w:b w:val="0"/>
                <w:sz w:val="17"/>
              </w:rPr>
              <w:t>Redis</w:t>
            </w:r>
          </w:p>
        </w:tc>
        <w:tc>
          <w:tcPr>
            <w:tcW w:type="dxa" w:w="3360"/>
            <w:vAlign w:val="center"/>
          </w:tcPr>
          <w:p>
            <w:r/>
            <w:r>
              <w:rPr>
                <w:b w:val="0"/>
                <w:sz w:val="17"/>
              </w:rPr>
              <w:t>Prediction/query caching.</w:t>
            </w:r>
          </w:p>
        </w:tc>
      </w:tr>
      <w:tr>
        <w:tc>
          <w:tcPr>
            <w:tcW w:type="dxa" w:w="3360"/>
            <w:vAlign w:val="center"/>
          </w:tcPr>
          <w:p>
            <w:r/>
            <w:r>
              <w:rPr>
                <w:b w:val="0"/>
                <w:sz w:val="17"/>
              </w:rPr>
              <w:t>Ingestion</w:t>
            </w:r>
          </w:p>
        </w:tc>
        <w:tc>
          <w:tcPr>
            <w:tcW w:type="dxa" w:w="3360"/>
            <w:vAlign w:val="center"/>
          </w:tcPr>
          <w:p>
            <w:r/>
            <w:r>
              <w:rPr>
                <w:b w:val="0"/>
                <w:sz w:val="17"/>
              </w:rPr>
              <w:t>Apache Airflow, Python requests/aiohttp; Kafka optional</w:t>
            </w:r>
          </w:p>
        </w:tc>
        <w:tc>
          <w:tcPr>
            <w:tcW w:type="dxa" w:w="3360"/>
            <w:vAlign w:val="center"/>
          </w:tcPr>
          <w:p>
            <w:r/>
            <w:r>
              <w:rPr>
                <w:b w:val="0"/>
                <w:sz w:val="17"/>
              </w:rPr>
              <w:t>Scheduled and streaming ingestion.</w:t>
            </w:r>
          </w:p>
        </w:tc>
      </w:tr>
      <w:tr>
        <w:tc>
          <w:tcPr>
            <w:tcW w:type="dxa" w:w="3360"/>
            <w:vAlign w:val="center"/>
          </w:tcPr>
          <w:p>
            <w:r/>
            <w:r>
              <w:rPr>
                <w:b w:val="0"/>
                <w:sz w:val="17"/>
              </w:rPr>
              <w:t>Features</w:t>
            </w:r>
          </w:p>
        </w:tc>
        <w:tc>
          <w:tcPr>
            <w:tcW w:type="dxa" w:w="3360"/>
            <w:vAlign w:val="center"/>
          </w:tcPr>
          <w:p>
            <w:r/>
            <w:r>
              <w:rPr>
                <w:b w:val="0"/>
                <w:sz w:val="17"/>
              </w:rPr>
              <w:t>Kedro, Pandas/Polars, feature-engine</w:t>
            </w:r>
          </w:p>
        </w:tc>
        <w:tc>
          <w:tcPr>
            <w:tcW w:type="dxa" w:w="3360"/>
            <w:vAlign w:val="center"/>
          </w:tcPr>
          <w:p>
            <w:r/>
            <w:r>
              <w:rPr>
                <w:b w:val="0"/>
                <w:sz w:val="17"/>
              </w:rPr>
              <w:t>Reproducible transformations.</w:t>
            </w:r>
          </w:p>
        </w:tc>
      </w:tr>
      <w:tr>
        <w:tc>
          <w:tcPr>
            <w:tcW w:type="dxa" w:w="3360"/>
            <w:vAlign w:val="center"/>
          </w:tcPr>
          <w:p>
            <w:r/>
            <w:r>
              <w:rPr>
                <w:b w:val="0"/>
                <w:sz w:val="17"/>
              </w:rPr>
              <w:t>MLOps</w:t>
            </w:r>
          </w:p>
        </w:tc>
        <w:tc>
          <w:tcPr>
            <w:tcW w:type="dxa" w:w="3360"/>
            <w:vAlign w:val="center"/>
          </w:tcPr>
          <w:p>
            <w:r/>
            <w:r>
              <w:rPr>
                <w:b w:val="0"/>
                <w:sz w:val="17"/>
              </w:rPr>
              <w:t>MLflow, DVC</w:t>
            </w:r>
          </w:p>
        </w:tc>
        <w:tc>
          <w:tcPr>
            <w:tcW w:type="dxa" w:w="3360"/>
            <w:vAlign w:val="center"/>
          </w:tcPr>
          <w:p>
            <w:r/>
            <w:r>
              <w:rPr>
                <w:b w:val="0"/>
                <w:sz w:val="17"/>
              </w:rPr>
              <w:t>Experiments, model/data versioning.</w:t>
            </w:r>
          </w:p>
        </w:tc>
      </w:tr>
      <w:tr>
        <w:tc>
          <w:tcPr>
            <w:tcW w:type="dxa" w:w="3360"/>
            <w:vAlign w:val="center"/>
          </w:tcPr>
          <w:p>
            <w:r/>
            <w:r>
              <w:rPr>
                <w:b w:val="0"/>
                <w:sz w:val="17"/>
              </w:rPr>
              <w:t>Monitoring</w:t>
            </w:r>
          </w:p>
        </w:tc>
        <w:tc>
          <w:tcPr>
            <w:tcW w:type="dxa" w:w="3360"/>
            <w:vAlign w:val="center"/>
          </w:tcPr>
          <w:p>
            <w:r/>
            <w:r>
              <w:rPr>
                <w:b w:val="0"/>
                <w:sz w:val="17"/>
              </w:rPr>
              <w:t>Prometheus, Grafana; ELK where needed</w:t>
            </w:r>
          </w:p>
        </w:tc>
        <w:tc>
          <w:tcPr>
            <w:tcW w:type="dxa" w:w="3360"/>
            <w:vAlign w:val="center"/>
          </w:tcPr>
          <w:p>
            <w:r/>
            <w:r>
              <w:rPr>
                <w:b w:val="0"/>
                <w:sz w:val="17"/>
              </w:rPr>
              <w:t>Metrics and logs.</w:t>
            </w:r>
          </w:p>
        </w:tc>
      </w:tr>
      <w:tr>
        <w:tc>
          <w:tcPr>
            <w:tcW w:type="dxa" w:w="3360"/>
            <w:vAlign w:val="center"/>
          </w:tcPr>
          <w:p>
            <w:r/>
            <w:r>
              <w:rPr>
                <w:b w:val="0"/>
                <w:sz w:val="17"/>
              </w:rPr>
              <w:t>Testing</w:t>
            </w:r>
          </w:p>
        </w:tc>
        <w:tc>
          <w:tcPr>
            <w:tcW w:type="dxa" w:w="3360"/>
            <w:vAlign w:val="center"/>
          </w:tcPr>
          <w:p>
            <w:r/>
            <w:r>
              <w:rPr>
                <w:b w:val="0"/>
                <w:sz w:val="17"/>
              </w:rPr>
              <w:t>Pytest, Jest, Great Expectations, Locust</w:t>
            </w:r>
          </w:p>
        </w:tc>
        <w:tc>
          <w:tcPr>
            <w:tcW w:type="dxa" w:w="3360"/>
            <w:vAlign w:val="center"/>
          </w:tcPr>
          <w:p>
            <w:r/>
            <w:r>
              <w:rPr>
                <w:b w:val="0"/>
                <w:sz w:val="17"/>
              </w:rPr>
              <w:t>Unit, integration, data and load tests.</w:t>
            </w:r>
          </w:p>
        </w:tc>
      </w:tr>
      <w:tr>
        <w:tc>
          <w:tcPr>
            <w:tcW w:type="dxa" w:w="3360"/>
            <w:vAlign w:val="center"/>
          </w:tcPr>
          <w:p>
            <w:r/>
            <w:r>
              <w:rPr>
                <w:b w:val="0"/>
                <w:sz w:val="17"/>
              </w:rPr>
              <w:t>Quality</w:t>
            </w:r>
          </w:p>
        </w:tc>
        <w:tc>
          <w:tcPr>
            <w:tcW w:type="dxa" w:w="3360"/>
            <w:vAlign w:val="center"/>
          </w:tcPr>
          <w:p>
            <w:r/>
            <w:r>
              <w:rPr>
                <w:b w:val="0"/>
                <w:sz w:val="17"/>
              </w:rPr>
              <w:t>Black, Ruff, pre-commit</w:t>
            </w:r>
          </w:p>
        </w:tc>
        <w:tc>
          <w:tcPr>
            <w:tcW w:type="dxa" w:w="3360"/>
            <w:vAlign w:val="center"/>
          </w:tcPr>
          <w:p>
            <w:r/>
            <w:r>
              <w:rPr>
                <w:b w:val="0"/>
                <w:sz w:val="17"/>
              </w:rPr>
              <w:t>Formatting and linting.</w:t>
            </w:r>
          </w:p>
        </w:tc>
      </w:tr>
      <w:tr>
        <w:tc>
          <w:tcPr>
            <w:tcW w:type="dxa" w:w="3360"/>
            <w:vAlign w:val="center"/>
          </w:tcPr>
          <w:p>
            <w:r/>
            <w:r>
              <w:rPr>
                <w:b w:val="0"/>
                <w:sz w:val="17"/>
              </w:rPr>
              <w:t>Deployment</w:t>
            </w:r>
          </w:p>
        </w:tc>
        <w:tc>
          <w:tcPr>
            <w:tcW w:type="dxa" w:w="3360"/>
            <w:vAlign w:val="center"/>
          </w:tcPr>
          <w:p>
            <w:r/>
            <w:r>
              <w:rPr>
                <w:b w:val="0"/>
                <w:sz w:val="17"/>
              </w:rPr>
              <w:t>Docker, Compose, GitHub Actions; Render/Railway MVP; AWS production</w:t>
            </w:r>
          </w:p>
        </w:tc>
        <w:tc>
          <w:tcPr>
            <w:tcW w:type="dxa" w:w="3360"/>
            <w:vAlign w:val="center"/>
          </w:tcPr>
          <w:p>
            <w:r/>
            <w:r>
              <w:rPr>
                <w:b w:val="0"/>
                <w:sz w:val="17"/>
              </w:rPr>
              <w:t>Reproducible deployment and CI/CD.</w:t>
            </w:r>
          </w:p>
        </w:tc>
      </w:tr>
    </w:tbl>
    <w:p>
      <w:pPr>
        <w:spacing w:after="40"/>
      </w:pPr>
    </w:p>
    <w:p>
      <w:pPr>
        <w:spacing w:after="80"/>
      </w:pPr>
      <w:r>
        <w:t>MVP principle: use the smallest reliable subset that can be demonstrated. Kafka, Kubernetes, ELK, full RL, and proprietary real-time feeds are optional production extensions—not mandatory hackathon blockers.</w:t>
      </w:r>
    </w:p>
    <w:p>
      <w:pPr>
        <w:pStyle w:val="Heading1"/>
      </w:pPr>
      <w:r>
        <w:t>13. Data Model &amp; Repository Structure</w:t>
      </w:r>
    </w:p>
    <w:p>
      <w:pPr>
        <w:pStyle w:val="Heading2"/>
      </w:pPr>
      <w:r>
        <w:t>13.1 Core Tables</w:t>
      </w:r>
    </w:p>
    <w:p>
      <w:pPr>
        <w:pStyle w:val="ListBullet"/>
        <w:spacing w:after="20"/>
      </w:pPr>
      <w:r>
        <w:t>freight_rates: route, commodity, date, rate, source, granularity.</w:t>
      </w:r>
    </w:p>
    <w:p>
      <w:pPr>
        <w:pStyle w:val="ListBullet"/>
        <w:spacing w:after="20"/>
      </w:pPr>
      <w:r>
        <w:t>fuel_prices: date, benchmark, price, volatility.</w:t>
      </w:r>
    </w:p>
    <w:p>
      <w:pPr>
        <w:pStyle w:val="ListBullet"/>
        <w:spacing w:after="20"/>
      </w:pPr>
      <w:r>
        <w:t>port_specs: port, draft, max_loa, beam, cargo_capacity, commodity support.</w:t>
      </w:r>
    </w:p>
    <w:p>
      <w:pPr>
        <w:pStyle w:val="ListBullet"/>
        <w:spacing w:after="20"/>
      </w:pPr>
      <w:r>
        <w:t>vessel_specs: vessel class, draft, LOA, beam, capacity, typical cost.</w:t>
      </w:r>
    </w:p>
    <w:p>
      <w:pPr>
        <w:pStyle w:val="ListBullet"/>
        <w:spacing w:after="20"/>
      </w:pPr>
      <w:r>
        <w:t>port_observations: queue length, berth availability, wait time, congestion score.</w:t>
      </w:r>
    </w:p>
    <w:p>
      <w:pPr>
        <w:pStyle w:val="ListBullet"/>
        <w:spacing w:after="20"/>
      </w:pPr>
      <w:r>
        <w:t>origin_commodities: origin, commodity, availability, historical volume, forecast.</w:t>
      </w:r>
    </w:p>
    <w:p>
      <w:pPr>
        <w:pStyle w:val="ListBullet"/>
        <w:spacing w:after="20"/>
      </w:pPr>
      <w:r>
        <w:t>forecast_runs: model version, inputs, predictions, intervals, recommendation.</w:t>
      </w:r>
    </w:p>
    <w:p>
      <w:pPr>
        <w:pStyle w:val="ListBullet"/>
        <w:spacing w:after="20"/>
      </w:pPr>
      <w:r>
        <w:t>voyage_plans: procurement requirements, vessel, origin/destination, timing, idle estimate, cost.</w:t>
      </w:r>
    </w:p>
    <w:p>
      <w:pPr>
        <w:pStyle w:val="Heading2"/>
      </w:pPr>
      <w:r>
        <w:t>13.2 Recommended Repository</w:t>
      </w:r>
    </w:p>
    <w:p>
      <w:pPr>
        <w:spacing w:after="80"/>
      </w:pPr>
      <w:r>
        <w:t>sih26006-freight-forecasting/</w:t>
        <w:br/>
        <w:t>├── data/                  # Raw/processed CSV, Parquet</w:t>
        <w:br/>
        <w:t>├── notebooks/             # EDA + model experiments</w:t>
        <w:br/>
        <w:t>├── src/</w:t>
        <w:br/>
        <w:t>│   ├── features/          # Feature engineering / Kedro</w:t>
        <w:br/>
        <w:t>│   ├── models/            # Prophet, LSTM, XGBoost</w:t>
        <w:br/>
        <w:t>│   ├── optimization/      # Vessel + multi-voyage optimization</w:t>
        <w:br/>
        <w:t>│   ├── api/               # FastAPI</w:t>
        <w:br/>
        <w:t>│   └── utils/</w:t>
        <w:br/>
        <w:t>├── frontend/              # React dashboard</w:t>
        <w:br/>
        <w:t>├── airflow/               # DAGs</w:t>
        <w:br/>
        <w:t>├── tests/</w:t>
        <w:br/>
        <w:t>├── docker-compose.yml</w:t>
        <w:br/>
        <w:t>├── Dockerfile</w:t>
        <w:br/>
        <w:t>└── README.md</w:t>
      </w:r>
    </w:p>
    <w:p>
      <w:pPr>
        <w:pStyle w:val="Heading1"/>
      </w:pPr>
      <w:r>
        <w:t>14. Pre-Hackathon Roadmap — 6 Weeks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AF7"/>
          </w:tcPr>
          <w:p>
            <w:r/>
            <w:r>
              <w:rPr>
                <w:b/>
                <w:sz w:val="17"/>
              </w:rPr>
              <w:t>Week</w:t>
            </w:r>
          </w:p>
        </w:tc>
        <w:tc>
          <w:tcPr>
            <w:tcW w:type="dxa" w:w="2520"/>
            <w:vAlign w:val="center"/>
            <w:shd w:fill="D9EAF7"/>
          </w:tcPr>
          <w:p>
            <w:r/>
            <w:r>
              <w:rPr>
                <w:b/>
                <w:sz w:val="17"/>
              </w:rPr>
              <w:t>Goal</w:t>
            </w:r>
          </w:p>
        </w:tc>
        <w:tc>
          <w:tcPr>
            <w:tcW w:type="dxa" w:w="2520"/>
            <w:vAlign w:val="center"/>
            <w:shd w:fill="D9EAF7"/>
          </w:tcPr>
          <w:p>
            <w:r/>
            <w:r>
              <w:rPr>
                <w:b/>
                <w:sz w:val="17"/>
              </w:rPr>
              <w:t>Key Work</w:t>
            </w:r>
          </w:p>
        </w:tc>
        <w:tc>
          <w:tcPr>
            <w:tcW w:type="dxa" w:w="2520"/>
            <w:vAlign w:val="center"/>
            <w:shd w:fill="D9EAF7"/>
          </w:tcPr>
          <w:p>
            <w:r/>
            <w:r>
              <w:rPr>
                <w:b/>
                <w:sz w:val="17"/>
              </w:rPr>
              <w:t>Deliverables</w:t>
            </w:r>
          </w:p>
        </w:tc>
      </w:tr>
      <w:tr>
        <w:tc>
          <w:tcPr>
            <w:tcW w:type="dxa" w:w="2520"/>
            <w:vAlign w:val="center"/>
          </w:tcPr>
          <w:p>
            <w:r/>
            <w:r>
              <w:rPr>
                <w:b w:val="0"/>
                <w:sz w:val="17"/>
              </w:rPr>
              <w:t>1–2</w:t>
            </w:r>
          </w:p>
        </w:tc>
        <w:tc>
          <w:tcPr>
            <w:tcW w:type="dxa" w:w="2520"/>
            <w:vAlign w:val="center"/>
          </w:tcPr>
          <w:p>
            <w:r/>
            <w:r>
              <w:rPr>
                <w:b w:val="0"/>
                <w:sz w:val="17"/>
              </w:rPr>
              <w:t>Data foundation</w:t>
            </w:r>
          </w:p>
        </w:tc>
        <w:tc>
          <w:tcPr>
            <w:tcW w:type="dxa" w:w="2520"/>
            <w:vAlign w:val="center"/>
          </w:tcPr>
          <w:p>
            <w:r/>
            <w:r>
              <w:rPr>
                <w:b w:val="0"/>
                <w:sz w:val="17"/>
              </w:rPr>
              <w:t>Collect 2+ years freight data; fuel/commodity/AIS; curate 7-port constraint matrix; origin mapping; EDA.</w:t>
            </w:r>
          </w:p>
        </w:tc>
        <w:tc>
          <w:tcPr>
            <w:tcW w:type="dxa" w:w="2520"/>
            <w:vAlign w:val="center"/>
          </w:tcPr>
          <w:p>
            <w:r/>
            <w:r>
              <w:rPr>
                <w:b w:val="0"/>
                <w:sz w:val="17"/>
              </w:rPr>
              <w:t>Clean dataset, EDA notebook, feature list, port/origin matrices.</w:t>
            </w:r>
          </w:p>
        </w:tc>
      </w:tr>
      <w:tr>
        <w:tc>
          <w:tcPr>
            <w:tcW w:type="dxa" w:w="2520"/>
            <w:vAlign w:val="center"/>
          </w:tcPr>
          <w:p>
            <w:r/>
            <w:r>
              <w:rPr>
                <w:b w:val="0"/>
                <w:sz w:val="17"/>
              </w:rPr>
              <w:t>3–4</w:t>
            </w:r>
          </w:p>
        </w:tc>
        <w:tc>
          <w:tcPr>
            <w:tcW w:type="dxa" w:w="2520"/>
            <w:vAlign w:val="center"/>
          </w:tcPr>
          <w:p>
            <w:r/>
            <w:r>
              <w:rPr>
                <w:b w:val="0"/>
                <w:sz w:val="17"/>
              </w:rPr>
              <w:t>Models + optimization</w:t>
            </w:r>
          </w:p>
        </w:tc>
        <w:tc>
          <w:tcPr>
            <w:tcW w:type="dxa" w:w="2520"/>
            <w:vAlign w:val="center"/>
          </w:tcPr>
          <w:p>
            <w:r/>
            <w:r>
              <w:rPr>
                <w:b w:val="0"/>
                <w:sz w:val="17"/>
              </w:rPr>
              <w:t>Prophet/LSTM/XGBoost; time-series CV; vessel classifier; DP optimizer prototype; backtest.</w:t>
            </w:r>
          </w:p>
        </w:tc>
        <w:tc>
          <w:tcPr>
            <w:tcW w:type="dxa" w:w="2520"/>
            <w:vAlign w:val="center"/>
          </w:tcPr>
          <w:p>
            <w:r/>
            <w:r>
              <w:rPr>
                <w:b w:val="0"/>
                <w:sz w:val="17"/>
              </w:rPr>
              <w:t>Tracked models, validation report, vessel ranking, multi-voyage proof-of-concept.</w:t>
            </w:r>
          </w:p>
        </w:tc>
      </w:tr>
      <w:tr>
        <w:tc>
          <w:tcPr>
            <w:tcW w:type="dxa" w:w="2520"/>
            <w:vAlign w:val="center"/>
          </w:tcPr>
          <w:p>
            <w:r/>
            <w:r>
              <w:rPr>
                <w:b w:val="0"/>
                <w:sz w:val="17"/>
              </w:rPr>
              <w:t>5</w:t>
            </w:r>
          </w:p>
        </w:tc>
        <w:tc>
          <w:tcPr>
            <w:tcW w:type="dxa" w:w="2520"/>
            <w:vAlign w:val="center"/>
          </w:tcPr>
          <w:p>
            <w:r/>
            <w:r>
              <w:rPr>
                <w:b w:val="0"/>
                <w:sz w:val="17"/>
              </w:rPr>
              <w:t>Backend + database</w:t>
            </w:r>
          </w:p>
        </w:tc>
        <w:tc>
          <w:tcPr>
            <w:tcW w:type="dxa" w:w="2520"/>
            <w:vAlign w:val="center"/>
          </w:tcPr>
          <w:p>
            <w:r/>
            <w:r>
              <w:rPr>
                <w:b w:val="0"/>
                <w:sz w:val="17"/>
              </w:rPr>
              <w:t>FastAPI endpoints; PostgreSQL/TimescaleDB; Airflow refresh; inference service; load test.</w:t>
            </w:r>
          </w:p>
        </w:tc>
        <w:tc>
          <w:tcPr>
            <w:tcW w:type="dxa" w:w="2520"/>
            <w:vAlign w:val="center"/>
          </w:tcPr>
          <w:p>
            <w:r/>
            <w:r>
              <w:rPr>
                <w:b w:val="0"/>
                <w:sz w:val="17"/>
              </w:rPr>
              <w:t>Working API, schema, DAG, Swagger, load-test result.</w:t>
            </w:r>
          </w:p>
        </w:tc>
      </w:tr>
      <w:tr>
        <w:tc>
          <w:tcPr>
            <w:tcW w:type="dxa" w:w="2520"/>
            <w:vAlign w:val="center"/>
          </w:tcPr>
          <w:p>
            <w:r/>
            <w:r>
              <w:rPr>
                <w:b w:val="0"/>
                <w:sz w:val="17"/>
              </w:rPr>
              <w:t>6</w:t>
            </w:r>
          </w:p>
        </w:tc>
        <w:tc>
          <w:tcPr>
            <w:tcW w:type="dxa" w:w="2520"/>
            <w:vAlign w:val="center"/>
          </w:tcPr>
          <w:p>
            <w:r/>
            <w:r>
              <w:rPr>
                <w:b w:val="0"/>
                <w:sz w:val="17"/>
              </w:rPr>
              <w:t>Frontend + deployment</w:t>
            </w:r>
          </w:p>
        </w:tc>
        <w:tc>
          <w:tcPr>
            <w:tcW w:type="dxa" w:w="2520"/>
            <w:vAlign w:val="center"/>
          </w:tcPr>
          <w:p>
            <w:r/>
            <w:r>
              <w:rPr>
                <w:b w:val="0"/>
                <w:sz w:val="17"/>
              </w:rPr>
              <w:t>Dashboard, vessel table, Gantt, sensitivity UI, Docker, CI/CD, deployment.</w:t>
            </w:r>
          </w:p>
        </w:tc>
        <w:tc>
          <w:tcPr>
            <w:tcW w:type="dxa" w:w="2520"/>
            <w:vAlign w:val="center"/>
          </w:tcPr>
          <w:p>
            <w:r/>
            <w:r>
              <w:rPr>
                <w:b w:val="0"/>
                <w:sz w:val="17"/>
              </w:rPr>
              <w:t>Live MVP, Docker stack, documentation, demo-ready dataset.</w:t>
            </w:r>
          </w:p>
        </w:tc>
      </w:tr>
    </w:tbl>
    <w:p>
      <w:pPr>
        <w:spacing w:after="40"/>
      </w:pPr>
    </w:p>
    <w:p>
      <w:pPr>
        <w:pStyle w:val="Heading2"/>
      </w:pPr>
      <w:r>
        <w:t>Week 1–2 Detailed Data Tasks</w:t>
      </w:r>
    </w:p>
    <w:p>
      <w:pPr>
        <w:pStyle w:val="ListBullet"/>
        <w:spacing w:after="20"/>
      </w:pPr>
      <w:r>
        <w:t>Download/assemble BDI/SCFI and route-relevant maritime data.</w:t>
      </w:r>
    </w:p>
    <w:p>
      <w:pPr>
        <w:pStyle w:val="ListBullet"/>
        <w:spacing w:after="20"/>
      </w:pPr>
      <w:r>
        <w:t>Collect historical fuel and commodity prices.</w:t>
      </w:r>
    </w:p>
    <w:p>
      <w:pPr>
        <w:pStyle w:val="ListBullet"/>
        <w:spacing w:after="20"/>
      </w:pPr>
      <w:r>
        <w:t>Compute AIS queue lengths and vessel-type distributions where data is available.</w:t>
      </w:r>
    </w:p>
    <w:p>
      <w:pPr>
        <w:pStyle w:val="ListBullet"/>
        <w:spacing w:after="20"/>
      </w:pPr>
      <w:r>
        <w:t>Curate port draft/LOA/beam/capacity constraints for all seven East Coast ports.</w:t>
      </w:r>
    </w:p>
    <w:p>
      <w:pPr>
        <w:pStyle w:val="ListBullet"/>
        <w:spacing w:after="20"/>
      </w:pPr>
      <w:r>
        <w:t>Build Australia/US/Mozambique/Russia/Indonesia origin-commodity mapping.</w:t>
      </w:r>
    </w:p>
    <w:p>
      <w:pPr>
        <w:pStyle w:val="ListBullet"/>
        <w:spacing w:after="20"/>
      </w:pPr>
      <w:r>
        <w:t>Engineer day-of-week, month, holiday, monsoon, lag, volatility, congestion, and queue features.</w:t>
      </w:r>
    </w:p>
    <w:p>
      <w:pPr>
        <w:pStyle w:val="Heading2"/>
      </w:pPr>
      <w:r>
        <w:t>Week 3–4 Detailed Model Tasks</w:t>
      </w:r>
    </w:p>
    <w:p>
      <w:pPr>
        <w:pStyle w:val="ListBullet"/>
        <w:spacing w:after="20"/>
      </w:pPr>
      <w:r>
        <w:t>Prophet baseline and seasonal/changepoint tuning.</w:t>
      </w:r>
    </w:p>
    <w:p>
      <w:pPr>
        <w:pStyle w:val="ListBullet"/>
        <w:spacing w:after="20"/>
      </w:pPr>
      <w:r>
        <w:t>LSTM training with normalized inputs and early stopping.</w:t>
      </w:r>
    </w:p>
    <w:p>
      <w:pPr>
        <w:pStyle w:val="ListBullet"/>
        <w:spacing w:after="20"/>
      </w:pPr>
      <w:r>
        <w:t>XGBoost with lagged rates, fuel volatility, queue/congestion, commodity, and seasonal features.</w:t>
      </w:r>
    </w:p>
    <w:p>
      <w:pPr>
        <w:pStyle w:val="ListBullet"/>
        <w:spacing w:after="20"/>
      </w:pPr>
      <w:r>
        <w:t>Walk-forward validation; no look-ahead leakage.</w:t>
      </w:r>
    </w:p>
    <w:p>
      <w:pPr>
        <w:pStyle w:val="ListBullet"/>
        <w:spacing w:after="20"/>
      </w:pPr>
      <w:r>
        <w:t>Ensemble weighting and holdout validation.</w:t>
      </w:r>
    </w:p>
    <w:p>
      <w:pPr>
        <w:pStyle w:val="ListBullet"/>
        <w:spacing w:after="20"/>
      </w:pPr>
      <w:r>
        <w:t>Vessel classifier and feasibility rules.</w:t>
      </w:r>
    </w:p>
    <w:p>
      <w:pPr>
        <w:pStyle w:val="ListBullet"/>
        <w:spacing w:after="20"/>
      </w:pPr>
      <w:r>
        <w:t>DP multi-voyage optimizer; quantify idle and cost improvement.</w:t>
      </w:r>
    </w:p>
    <w:p>
      <w:pPr>
        <w:pStyle w:val="Heading1"/>
      </w:pPr>
      <w:r>
        <w:t>15. 72-Hour Hackathon Execution Plan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7"/>
              </w:rPr>
              <w:t>Time</w:t>
            </w:r>
          </w:p>
        </w:tc>
        <w:tc>
          <w:tcPr>
            <w:tcW w:type="dxa" w:w="3360"/>
            <w:vAlign w:val="center"/>
            <w:shd w:fill="D9EAF7"/>
          </w:tcPr>
          <w:p>
            <w:r/>
            <w:r>
              <w:rPr>
                <w:b/>
                <w:sz w:val="17"/>
              </w:rPr>
              <w:t>Focus</w:t>
            </w:r>
          </w:p>
        </w:tc>
        <w:tc>
          <w:tcPr>
            <w:tcW w:type="dxa" w:w="3360"/>
            <w:vAlign w:val="center"/>
            <w:shd w:fill="D9EAF7"/>
          </w:tcPr>
          <w:p>
            <w:r/>
            <w:r>
              <w:rPr>
                <w:b/>
                <w:sz w:val="17"/>
              </w:rPr>
              <w:t>Must Finish</w:t>
            </w:r>
          </w:p>
        </w:tc>
      </w:tr>
      <w:tr>
        <w:tc>
          <w:tcPr>
            <w:tcW w:type="dxa" w:w="3360"/>
            <w:vAlign w:val="center"/>
          </w:tcPr>
          <w:p>
            <w:r/>
            <w:r>
              <w:rPr>
                <w:b w:val="0"/>
                <w:sz w:val="17"/>
              </w:rPr>
              <w:t>Hour 0–12</w:t>
            </w:r>
          </w:p>
        </w:tc>
        <w:tc>
          <w:tcPr>
            <w:tcW w:type="dxa" w:w="3360"/>
            <w:vAlign w:val="center"/>
          </w:tcPr>
          <w:p>
            <w:r/>
            <w:r>
              <w:rPr>
                <w:b w:val="0"/>
                <w:sz w:val="17"/>
              </w:rPr>
              <w:t>Integration &amp; validation</w:t>
            </w:r>
          </w:p>
        </w:tc>
        <w:tc>
          <w:tcPr>
            <w:tcW w:type="dxa" w:w="3360"/>
            <w:vAlign w:val="center"/>
          </w:tcPr>
          <w:p>
            <w:r/>
            <w:r>
              <w:rPr>
                <w:b w:val="0"/>
                <w:sz w:val="17"/>
              </w:rPr>
              <w:t>Forecast endpoint, DB, routes, dashboard smoke test, model loading, CORS, fallback data.</w:t>
            </w:r>
          </w:p>
        </w:tc>
      </w:tr>
      <w:tr>
        <w:tc>
          <w:tcPr>
            <w:tcW w:type="dxa" w:w="3360"/>
            <w:vAlign w:val="center"/>
          </w:tcPr>
          <w:p>
            <w:r/>
            <w:r>
              <w:rPr>
                <w:b w:val="0"/>
                <w:sz w:val="17"/>
              </w:rPr>
              <w:t>Hour 12–36</w:t>
            </w:r>
          </w:p>
        </w:tc>
        <w:tc>
          <w:tcPr>
            <w:tcW w:type="dxa" w:w="3360"/>
            <w:vAlign w:val="center"/>
          </w:tcPr>
          <w:p>
            <w:r/>
            <w:r>
              <w:rPr>
                <w:b w:val="0"/>
                <w:sz w:val="17"/>
              </w:rPr>
              <w:t>Core product</w:t>
            </w:r>
          </w:p>
        </w:tc>
        <w:tc>
          <w:tcPr>
            <w:tcW w:type="dxa" w:w="3360"/>
            <w:vAlign w:val="center"/>
          </w:tcPr>
          <w:p>
            <w:r/>
            <w:r>
              <w:rPr>
                <w:b w:val="0"/>
                <w:sz w:val="17"/>
              </w:rPr>
              <w:t>Recommendation engine, vessel ranking, port filtering, feature importance.</w:t>
            </w:r>
          </w:p>
        </w:tc>
      </w:tr>
      <w:tr>
        <w:tc>
          <w:tcPr>
            <w:tcW w:type="dxa" w:w="3360"/>
            <w:vAlign w:val="center"/>
          </w:tcPr>
          <w:p>
            <w:r/>
            <w:r>
              <w:rPr>
                <w:b w:val="0"/>
                <w:sz w:val="17"/>
              </w:rPr>
              <w:t>Hour 36–48</w:t>
            </w:r>
          </w:p>
        </w:tc>
        <w:tc>
          <w:tcPr>
            <w:tcW w:type="dxa" w:w="3360"/>
            <w:vAlign w:val="center"/>
          </w:tcPr>
          <w:p>
            <w:r/>
            <w:r>
              <w:rPr>
                <w:b w:val="0"/>
                <w:sz w:val="17"/>
              </w:rPr>
              <w:t>Optimization + scenarios</w:t>
            </w:r>
          </w:p>
        </w:tc>
        <w:tc>
          <w:tcPr>
            <w:tcW w:type="dxa" w:w="3360"/>
            <w:vAlign w:val="center"/>
          </w:tcPr>
          <w:p>
            <w:r/>
            <w:r>
              <w:rPr>
                <w:b w:val="0"/>
                <w:sz w:val="17"/>
              </w:rPr>
              <w:t>Multi-voyage demo, idle metric, sensitivity sliders.</w:t>
            </w:r>
          </w:p>
        </w:tc>
      </w:tr>
      <w:tr>
        <w:tc>
          <w:tcPr>
            <w:tcW w:type="dxa" w:w="3360"/>
            <w:vAlign w:val="center"/>
          </w:tcPr>
          <w:p>
            <w:r/>
            <w:r>
              <w:rPr>
                <w:b w:val="0"/>
                <w:sz w:val="17"/>
              </w:rPr>
              <w:t>Hour 48–60</w:t>
            </w:r>
          </w:p>
        </w:tc>
        <w:tc>
          <w:tcPr>
            <w:tcW w:type="dxa" w:w="3360"/>
            <w:vAlign w:val="center"/>
          </w:tcPr>
          <w:p>
            <w:r/>
            <w:r>
              <w:rPr>
                <w:b w:val="0"/>
                <w:sz w:val="17"/>
              </w:rPr>
              <w:t>Testing &amp; docs</w:t>
            </w:r>
          </w:p>
        </w:tc>
        <w:tc>
          <w:tcPr>
            <w:tcW w:type="dxa" w:w="3360"/>
            <w:vAlign w:val="center"/>
          </w:tcPr>
          <w:p>
            <w:r/>
            <w:r>
              <w:rPr>
                <w:b w:val="0"/>
                <w:sz w:val="17"/>
              </w:rPr>
              <w:t>15+ core tests, integration tests, README, architecture, canned demo.</w:t>
            </w:r>
          </w:p>
        </w:tc>
      </w:tr>
      <w:tr>
        <w:tc>
          <w:tcPr>
            <w:tcW w:type="dxa" w:w="3360"/>
            <w:vAlign w:val="center"/>
          </w:tcPr>
          <w:p>
            <w:r/>
            <w:r>
              <w:rPr>
                <w:b w:val="0"/>
                <w:sz w:val="17"/>
              </w:rPr>
              <w:t>Hour 60–72</w:t>
            </w:r>
          </w:p>
        </w:tc>
        <w:tc>
          <w:tcPr>
            <w:tcW w:type="dxa" w:w="3360"/>
            <w:vAlign w:val="center"/>
          </w:tcPr>
          <w:p>
            <w:r/>
            <w:r>
              <w:rPr>
                <w:b w:val="0"/>
                <w:sz w:val="17"/>
              </w:rPr>
              <w:t>Presentation</w:t>
            </w:r>
          </w:p>
        </w:tc>
        <w:tc>
          <w:tcPr>
            <w:tcW w:type="dxa" w:w="3360"/>
            <w:vAlign w:val="center"/>
          </w:tcPr>
          <w:p>
            <w:r/>
            <w:r>
              <w:rPr>
                <w:b w:val="0"/>
                <w:sz w:val="17"/>
              </w:rPr>
              <w:t>Dry run, pitch deck, impact metrics, Q&amp;A, offline backup.</w:t>
            </w:r>
          </w:p>
        </w:tc>
      </w:tr>
    </w:tbl>
    <w:p>
      <w:pPr>
        <w:spacing w:after="40"/>
      </w:pPr>
    </w:p>
    <w:p>
      <w:pPr>
        <w:spacing w:after="80"/>
      </w:pPr>
      <w:r>
        <w:t>Priority rule: a stable four-pillar MVP beats an overextended system with half-finished features. If time collapses, preserve forecasting + vessel feasibility/ranking + one deterministic multi-voyage scenario + sensitivity demo, and make the rest explicit future work.</w:t>
      </w:r>
    </w:p>
    <w:p>
      <w:pPr>
        <w:pStyle w:val="Heading1"/>
      </w:pPr>
      <w:r>
        <w:t>16. Testing, Validation &amp; Quality Gates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7"/>
              </w:rPr>
              <w:t>Area</w:t>
            </w:r>
          </w:p>
        </w:tc>
        <w:tc>
          <w:tcPr>
            <w:tcW w:type="dxa" w:w="5040"/>
            <w:vAlign w:val="center"/>
            <w:shd w:fill="D9EAF7"/>
          </w:tcPr>
          <w:p>
            <w:r/>
            <w:r>
              <w:rPr>
                <w:b/>
                <w:sz w:val="17"/>
              </w:rPr>
              <w:t>Minimum Gate</w:t>
            </w:r>
          </w:p>
        </w:tc>
      </w:tr>
      <w:tr>
        <w:tc>
          <w:tcPr>
            <w:tcW w:type="dxa" w:w="5040"/>
            <w:vAlign w:val="center"/>
          </w:tcPr>
          <w:p>
            <w:r/>
            <w:r>
              <w:rPr>
                <w:b w:val="0"/>
                <w:sz w:val="17"/>
              </w:rPr>
              <w:t>Data</w:t>
            </w:r>
          </w:p>
        </w:tc>
        <w:tc>
          <w:tcPr>
            <w:tcW w:type="dxa" w:w="5040"/>
            <w:vAlign w:val="center"/>
          </w:tcPr>
          <w:p>
            <w:r/>
            <w:r>
              <w:rPr>
                <w:b w:val="0"/>
                <w:sz w:val="17"/>
              </w:rPr>
              <w:t>Schema/range/freshness checks; no leakage; documented missing-data policy.</w:t>
            </w:r>
          </w:p>
        </w:tc>
      </w:tr>
      <w:tr>
        <w:tc>
          <w:tcPr>
            <w:tcW w:type="dxa" w:w="5040"/>
            <w:vAlign w:val="center"/>
          </w:tcPr>
          <w:p>
            <w:r/>
            <w:r>
              <w:rPr>
                <w:b w:val="0"/>
                <w:sz w:val="17"/>
              </w:rPr>
              <w:t>ML</w:t>
            </w:r>
          </w:p>
        </w:tc>
        <w:tc>
          <w:tcPr>
            <w:tcW w:type="dxa" w:w="5040"/>
            <w:vAlign w:val="center"/>
          </w:tcPr>
          <w:p>
            <w:r/>
            <w:r>
              <w:rPr>
                <w:b w:val="0"/>
                <w:sz w:val="17"/>
              </w:rPr>
              <w:t>MAPE &lt;15% target on test set; RMSE, direction accuracy, CI coverage reported.</w:t>
            </w:r>
          </w:p>
        </w:tc>
      </w:tr>
      <w:tr>
        <w:tc>
          <w:tcPr>
            <w:tcW w:type="dxa" w:w="5040"/>
            <w:vAlign w:val="center"/>
          </w:tcPr>
          <w:p>
            <w:r/>
            <w:r>
              <w:rPr>
                <w:b w:val="0"/>
                <w:sz w:val="17"/>
              </w:rPr>
              <w:t>Backtest</w:t>
            </w:r>
          </w:p>
        </w:tc>
        <w:tc>
          <w:tcPr>
            <w:tcW w:type="dxa" w:w="5040"/>
            <w:vAlign w:val="center"/>
          </w:tcPr>
          <w:p>
            <w:r/>
            <w:r>
              <w:rPr>
                <w:b w:val="0"/>
                <w:sz w:val="17"/>
              </w:rPr>
              <w:t>Walk-forward evaluation and comparison with simple baseline.</w:t>
            </w:r>
          </w:p>
        </w:tc>
      </w:tr>
      <w:tr>
        <w:tc>
          <w:tcPr>
            <w:tcW w:type="dxa" w:w="5040"/>
            <w:vAlign w:val="center"/>
          </w:tcPr>
          <w:p>
            <w:r/>
            <w:r>
              <w:rPr>
                <w:b w:val="0"/>
                <w:sz w:val="17"/>
              </w:rPr>
              <w:t>API</w:t>
            </w:r>
          </w:p>
        </w:tc>
        <w:tc>
          <w:tcPr>
            <w:tcW w:type="dxa" w:w="5040"/>
            <w:vAlign w:val="center"/>
          </w:tcPr>
          <w:p>
            <w:r/>
            <w:r>
              <w:rPr>
                <w:b w:val="0"/>
                <w:sz w:val="17"/>
              </w:rPr>
              <w:t>All core endpoints return validated responses; &lt;500 ms p95 forecast target.</w:t>
            </w:r>
          </w:p>
        </w:tc>
      </w:tr>
      <w:tr>
        <w:tc>
          <w:tcPr>
            <w:tcW w:type="dxa" w:w="5040"/>
            <w:vAlign w:val="center"/>
          </w:tcPr>
          <w:p>
            <w:r/>
            <w:r>
              <w:rPr>
                <w:b w:val="0"/>
                <w:sz w:val="17"/>
              </w:rPr>
              <w:t>Load</w:t>
            </w:r>
          </w:p>
        </w:tc>
        <w:tc>
          <w:tcPr>
            <w:tcW w:type="dxa" w:w="5040"/>
            <w:vAlign w:val="center"/>
          </w:tcPr>
          <w:p>
            <w:r/>
            <w:r>
              <w:rPr>
                <w:b w:val="0"/>
                <w:sz w:val="17"/>
              </w:rPr>
              <w:t>100 concurrent requests target using Locust.</w:t>
            </w:r>
          </w:p>
        </w:tc>
      </w:tr>
      <w:tr>
        <w:tc>
          <w:tcPr>
            <w:tcW w:type="dxa" w:w="5040"/>
            <w:vAlign w:val="center"/>
          </w:tcPr>
          <w:p>
            <w:r/>
            <w:r>
              <w:rPr>
                <w:b w:val="0"/>
                <w:sz w:val="17"/>
              </w:rPr>
              <w:t>Frontend</w:t>
            </w:r>
          </w:p>
        </w:tc>
        <w:tc>
          <w:tcPr>
            <w:tcW w:type="dxa" w:w="5040"/>
            <w:vAlign w:val="center"/>
          </w:tcPr>
          <w:p>
            <w:r/>
            <w:r>
              <w:rPr>
                <w:b w:val="0"/>
                <w:sz w:val="17"/>
              </w:rPr>
              <w:t>Route selection, charts, ranking, Gantt, sensitivity all smoke-tested.</w:t>
            </w:r>
          </w:p>
        </w:tc>
      </w:tr>
      <w:tr>
        <w:tc>
          <w:tcPr>
            <w:tcW w:type="dxa" w:w="5040"/>
            <w:vAlign w:val="center"/>
          </w:tcPr>
          <w:p>
            <w:r/>
            <w:r>
              <w:rPr>
                <w:b w:val="0"/>
                <w:sz w:val="17"/>
              </w:rPr>
              <w:t>Code</w:t>
            </w:r>
          </w:p>
        </w:tc>
        <w:tc>
          <w:tcPr>
            <w:tcW w:type="dxa" w:w="5040"/>
            <w:vAlign w:val="center"/>
          </w:tcPr>
          <w:p>
            <w:r/>
            <w:r>
              <w:rPr>
                <w:b w:val="0"/>
                <w:sz w:val="17"/>
              </w:rPr>
              <w:t>&gt;80% test coverage target; Ruff/Black/pre-commit clean.</w:t>
            </w:r>
          </w:p>
        </w:tc>
      </w:tr>
      <w:tr>
        <w:tc>
          <w:tcPr>
            <w:tcW w:type="dxa" w:w="5040"/>
            <w:vAlign w:val="center"/>
          </w:tcPr>
          <w:p>
            <w:r/>
            <w:r>
              <w:rPr>
                <w:b w:val="0"/>
                <w:sz w:val="17"/>
              </w:rPr>
              <w:t>Deployment</w:t>
            </w:r>
          </w:p>
        </w:tc>
        <w:tc>
          <w:tcPr>
            <w:tcW w:type="dxa" w:w="5040"/>
            <w:vAlign w:val="center"/>
          </w:tcPr>
          <w:p>
            <w:r/>
            <w:r>
              <w:rPr>
                <w:b w:val="0"/>
                <w:sz w:val="17"/>
              </w:rPr>
              <w:t>docker-compose up works locally; public deployment plus localhost/offline fallback.</w:t>
            </w:r>
          </w:p>
        </w:tc>
      </w:tr>
    </w:tbl>
    <w:p>
      <w:pPr>
        <w:spacing w:after="40"/>
      </w:pPr>
    </w:p>
    <w:p>
      <w:pPr>
        <w:pStyle w:val="Heading1"/>
      </w:pPr>
      <w:r>
        <w:t>17. Risks, Fallbacks &amp; Demo Reliability</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7"/>
              </w:rPr>
              <w:t>Risk</w:t>
            </w:r>
          </w:p>
        </w:tc>
        <w:tc>
          <w:tcPr>
            <w:tcW w:type="dxa" w:w="5040"/>
            <w:vAlign w:val="center"/>
            <w:shd w:fill="D9EAF7"/>
          </w:tcPr>
          <w:p>
            <w:r/>
            <w:r>
              <w:rPr>
                <w:b/>
                <w:sz w:val="17"/>
              </w:rPr>
              <w:t>Mitigation / Fallback</w:t>
            </w:r>
          </w:p>
        </w:tc>
      </w:tr>
      <w:tr>
        <w:tc>
          <w:tcPr>
            <w:tcW w:type="dxa" w:w="5040"/>
            <w:vAlign w:val="center"/>
          </w:tcPr>
          <w:p>
            <w:r/>
            <w:r>
              <w:rPr>
                <w:b w:val="0"/>
                <w:sz w:val="17"/>
              </w:rPr>
              <w:t>Overfitting / leakage</w:t>
            </w:r>
          </w:p>
        </w:tc>
        <w:tc>
          <w:tcPr>
            <w:tcW w:type="dxa" w:w="5040"/>
            <w:vAlign w:val="center"/>
          </w:tcPr>
          <w:p>
            <w:r/>
            <w:r>
              <w:rPr>
                <w:b w:val="0"/>
                <w:sz w:val="17"/>
              </w:rPr>
              <w:t>Chronological splits, walk-forward validation, regularization, baseline comparison.</w:t>
            </w:r>
          </w:p>
        </w:tc>
      </w:tr>
      <w:tr>
        <w:tc>
          <w:tcPr>
            <w:tcW w:type="dxa" w:w="5040"/>
            <w:vAlign w:val="center"/>
          </w:tcPr>
          <w:p>
            <w:r/>
            <w:r>
              <w:rPr>
                <w:b w:val="0"/>
                <w:sz w:val="17"/>
              </w:rPr>
              <w:t>Insufficient data</w:t>
            </w:r>
          </w:p>
        </w:tc>
        <w:tc>
          <w:tcPr>
            <w:tcW w:type="dxa" w:w="5040"/>
            <w:vAlign w:val="center"/>
          </w:tcPr>
          <w:p>
            <w:r/>
            <w:r>
              <w:rPr>
                <w:b w:val="0"/>
                <w:sz w:val="17"/>
              </w:rPr>
              <w:t>Use public datasets and clearly label proxy features; reduce route/commodity scope.</w:t>
            </w:r>
          </w:p>
        </w:tc>
      </w:tr>
      <w:tr>
        <w:tc>
          <w:tcPr>
            <w:tcW w:type="dxa" w:w="5040"/>
            <w:vAlign w:val="center"/>
          </w:tcPr>
          <w:p>
            <w:r/>
            <w:r>
              <w:rPr>
                <w:b w:val="0"/>
                <w:sz w:val="17"/>
              </w:rPr>
              <w:t>Real-time API unavailable</w:t>
            </w:r>
          </w:p>
        </w:tc>
        <w:tc>
          <w:tcPr>
            <w:tcW w:type="dxa" w:w="5040"/>
            <w:vAlign w:val="center"/>
          </w:tcPr>
          <w:p>
            <w:r/>
            <w:r>
              <w:rPr>
                <w:b w:val="0"/>
                <w:sz w:val="17"/>
              </w:rPr>
              <w:t>Use cached/AIS-derived proxy metrics and preloaded observations.</w:t>
            </w:r>
          </w:p>
        </w:tc>
      </w:tr>
      <w:tr>
        <w:tc>
          <w:tcPr>
            <w:tcW w:type="dxa" w:w="5040"/>
            <w:vAlign w:val="center"/>
          </w:tcPr>
          <w:p>
            <w:r/>
            <w:r>
              <w:rPr>
                <w:b w:val="0"/>
                <w:sz w:val="17"/>
              </w:rPr>
              <w:t>LSTM too slow</w:t>
            </w:r>
          </w:p>
        </w:tc>
        <w:tc>
          <w:tcPr>
            <w:tcW w:type="dxa" w:w="5040"/>
            <w:vAlign w:val="center"/>
          </w:tcPr>
          <w:p>
            <w:r/>
            <w:r>
              <w:rPr>
                <w:b w:val="0"/>
                <w:sz w:val="17"/>
              </w:rPr>
              <w:t>Train in Colab/Kaggle; fall back to Prophet + XGBoost for demo if necessary.</w:t>
            </w:r>
          </w:p>
        </w:tc>
      </w:tr>
      <w:tr>
        <w:tc>
          <w:tcPr>
            <w:tcW w:type="dxa" w:w="5040"/>
            <w:vAlign w:val="center"/>
          </w:tcPr>
          <w:p>
            <w:r/>
            <w:r>
              <w:rPr>
                <w:b w:val="0"/>
                <w:sz w:val="17"/>
              </w:rPr>
              <w:t>Port data unavailable</w:t>
            </w:r>
          </w:p>
        </w:tc>
        <w:tc>
          <w:tcPr>
            <w:tcW w:type="dxa" w:w="5040"/>
            <w:vAlign w:val="center"/>
          </w:tcPr>
          <w:p>
            <w:r/>
            <w:r>
              <w:rPr>
                <w:b w:val="0"/>
                <w:sz w:val="17"/>
              </w:rPr>
              <w:t>Manually curate constraint matrix from public port information; use AIS queue proxy.</w:t>
            </w:r>
          </w:p>
        </w:tc>
      </w:tr>
      <w:tr>
        <w:tc>
          <w:tcPr>
            <w:tcW w:type="dxa" w:w="5040"/>
            <w:vAlign w:val="center"/>
          </w:tcPr>
          <w:p>
            <w:r/>
            <w:r>
              <w:rPr>
                <w:b w:val="0"/>
                <w:sz w:val="17"/>
              </w:rPr>
              <w:t>RL too complex</w:t>
            </w:r>
          </w:p>
        </w:tc>
        <w:tc>
          <w:tcPr>
            <w:tcW w:type="dxa" w:w="5040"/>
            <w:vAlign w:val="center"/>
          </w:tcPr>
          <w:p>
            <w:r/>
            <w:r>
              <w:rPr>
                <w:b w:val="0"/>
                <w:sz w:val="17"/>
              </w:rPr>
              <w:t>Use deterministic dynamic programming for the hackathon MVP.</w:t>
            </w:r>
          </w:p>
        </w:tc>
      </w:tr>
      <w:tr>
        <w:tc>
          <w:tcPr>
            <w:tcW w:type="dxa" w:w="5040"/>
            <w:vAlign w:val="center"/>
          </w:tcPr>
          <w:p>
            <w:r/>
            <w:r>
              <w:rPr>
                <w:b w:val="0"/>
                <w:sz w:val="17"/>
              </w:rPr>
              <w:t>Dashboard/internet failure</w:t>
            </w:r>
          </w:p>
        </w:tc>
        <w:tc>
          <w:tcPr>
            <w:tcW w:type="dxa" w:w="5040"/>
            <w:vAlign w:val="center"/>
          </w:tcPr>
          <w:p>
            <w:r/>
            <w:r>
              <w:rPr>
                <w:b w:val="0"/>
                <w:sz w:val="17"/>
              </w:rPr>
              <w:t>Local DB, canned forecast JSON, localhost demo, recorded backup.</w:t>
            </w:r>
          </w:p>
        </w:tc>
      </w:tr>
      <w:tr>
        <w:tc>
          <w:tcPr>
            <w:tcW w:type="dxa" w:w="5040"/>
            <w:vAlign w:val="center"/>
          </w:tcPr>
          <w:p>
            <w:r/>
            <w:r>
              <w:rPr>
                <w:b w:val="0"/>
                <w:sz w:val="17"/>
              </w:rPr>
              <w:t>API latency &gt;500 ms</w:t>
            </w:r>
          </w:p>
        </w:tc>
        <w:tc>
          <w:tcPr>
            <w:tcW w:type="dxa" w:w="5040"/>
            <w:vAlign w:val="center"/>
          </w:tcPr>
          <w:p>
            <w:r/>
            <w:r>
              <w:rPr>
                <w:b w:val="0"/>
                <w:sz w:val="17"/>
              </w:rPr>
              <w:t>Redis caching, precomputed forecasts, profiling, model serialization, horizontal scaling if needed.</w:t>
            </w:r>
          </w:p>
        </w:tc>
      </w:tr>
      <w:tr>
        <w:tc>
          <w:tcPr>
            <w:tcW w:type="dxa" w:w="5040"/>
            <w:vAlign w:val="center"/>
          </w:tcPr>
          <w:p>
            <w:r/>
            <w:r>
              <w:rPr>
                <w:b w:val="0"/>
                <w:sz w:val="17"/>
              </w:rPr>
              <w:t>Model explanation weak</w:t>
            </w:r>
          </w:p>
        </w:tc>
        <w:tc>
          <w:tcPr>
            <w:tcW w:type="dxa" w:w="5040"/>
            <w:vAlign w:val="center"/>
          </w:tcPr>
          <w:p>
            <w:r/>
            <w:r>
              <w:rPr>
                <w:b w:val="0"/>
                <w:sz w:val="17"/>
              </w:rPr>
              <w:t>Use XGBoost feature importance/SHAP; expose uncertainty rather than claiming causality.</w:t>
            </w:r>
          </w:p>
        </w:tc>
      </w:tr>
    </w:tbl>
    <w:p>
      <w:pPr>
        <w:spacing w:after="40"/>
      </w:pPr>
    </w:p>
    <w:p>
      <w:pPr>
        <w:spacing w:after="80"/>
      </w:pPr>
      <w:r>
        <w:t>Important credibility rule: all numeric impact examples (accuracy, savings, idle reduction, market value) must be clearly labeled as measured backtest results, illustrative scenarios, or targets. Do not present an illustrative number as a measured result.</w:t>
      </w:r>
    </w:p>
    <w:p>
      <w:pPr>
        <w:pStyle w:val="Heading1"/>
      </w:pPr>
      <w:r>
        <w:t>18. SIH Winning Strategy &amp; Differentiation</w:t>
      </w:r>
    </w:p>
    <w:p>
      <w:pPr>
        <w:pStyle w:val="Heading2"/>
      </w:pPr>
      <w:r>
        <w:t>18.1 Why the Product Is Different</w:t>
      </w:r>
    </w:p>
    <w:p>
      <w:pPr>
        <w:pStyle w:val="ListBullet"/>
        <w:spacing w:after="20"/>
      </w:pPr>
      <w:r>
        <w:t>Forecasting + optimization: it does not stop at predicting freight; it converts predictions into procurement and chartering actions.</w:t>
      </w:r>
    </w:p>
    <w:p>
      <w:pPr>
        <w:pStyle w:val="ListBullet"/>
        <w:spacing w:after="20"/>
      </w:pPr>
      <w:r>
        <w:t>Four-pillar workflow: timing, vessel choice, multi-voyage coordination, and risk/sensitivity are connected in one decision system.</w:t>
      </w:r>
    </w:p>
    <w:p>
      <w:pPr>
        <w:pStyle w:val="ListBullet"/>
        <w:spacing w:after="20"/>
      </w:pPr>
      <w:r>
        <w:t>Domain specificity: East Coast ports, bulk commodities, origin flows, port constraints, and vessel classes are explicitly modeled.</w:t>
      </w:r>
    </w:p>
    <w:p>
      <w:pPr>
        <w:pStyle w:val="ListBullet"/>
        <w:spacing w:after="20"/>
      </w:pPr>
      <w:r>
        <w:t>Explainable AI: feature drivers and uncertainty help users understand why the system recommends Buy/Wait/Avoid.</w:t>
      </w:r>
    </w:p>
    <w:p>
      <w:pPr>
        <w:pStyle w:val="ListBullet"/>
        <w:spacing w:after="20"/>
      </w:pPr>
      <w:r>
        <w:t>Operational feasibility: vessel recommendations respect real port constraints rather than optimizing cost in isolation.</w:t>
      </w:r>
    </w:p>
    <w:p>
      <w:pPr>
        <w:pStyle w:val="ListBullet"/>
        <w:spacing w:after="20"/>
      </w:pPr>
      <w:r>
        <w:t>Realistic data strategy: the MVP can work with public data and transparent proxies rather than requiring proprietary broker data.</w:t>
      </w:r>
    </w:p>
    <w:p>
      <w:pPr>
        <w:pStyle w:val="Heading2"/>
      </w:pPr>
      <w:r>
        <w:t>18.2 Judge-Facing Metrics</w:t>
      </w:r>
    </w:p>
    <w:p>
      <w:pPr>
        <w:pStyle w:val="ListBullet"/>
        <w:spacing w:after="20"/>
      </w:pPr>
      <w:r>
        <w:t>MAPE &lt;15% on a documented test/backtest set.</w:t>
      </w:r>
    </w:p>
    <w:p>
      <w:pPr>
        <w:pStyle w:val="ListBullet"/>
        <w:spacing w:after="20"/>
      </w:pPr>
      <w:r>
        <w:t>Quantified savings against spot/simple baseline.</w:t>
      </w:r>
    </w:p>
    <w:p>
      <w:pPr>
        <w:pStyle w:val="ListBullet"/>
        <w:spacing w:after="20"/>
      </w:pPr>
      <w:r>
        <w:t>Idle reduction in a reproducible multi-voyage scenario.</w:t>
      </w:r>
    </w:p>
    <w:p>
      <w:pPr>
        <w:pStyle w:val="ListBullet"/>
        <w:spacing w:after="20"/>
      </w:pPr>
      <w:r>
        <w:t>Port feasibility filtering shown live.</w:t>
      </w:r>
    </w:p>
    <w:p>
      <w:pPr>
        <w:pStyle w:val="ListBullet"/>
        <w:spacing w:after="20"/>
      </w:pPr>
      <w:r>
        <w:t>Sensitivity response shown live for a fuel/congestion shock.</w:t>
      </w:r>
    </w:p>
    <w:p>
      <w:pPr>
        <w:pStyle w:val="ListBullet"/>
        <w:spacing w:after="20"/>
      </w:pPr>
      <w:r>
        <w:t>API latency and load-test evidence.</w:t>
      </w:r>
    </w:p>
    <w:p>
      <w:pPr>
        <w:pStyle w:val="ListBullet"/>
        <w:spacing w:after="20"/>
      </w:pPr>
      <w:r>
        <w:t>Clean code, tests, reproducible Docker setup, and offline demo fallback.</w:t>
      </w:r>
    </w:p>
    <w:p>
      <w:pPr>
        <w:pStyle w:val="Heading1"/>
      </w:pPr>
      <w:r>
        <w:t>19. Demo Script &amp; Judge Q&amp;A</w:t>
      </w:r>
    </w:p>
    <w:p>
      <w:pPr>
        <w:pStyle w:val="Heading2"/>
      </w:pPr>
      <w:r>
        <w:t>19.1 15-Minute Demo</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7"/>
              </w:rPr>
              <w:t>Segment</w:t>
            </w:r>
          </w:p>
        </w:tc>
        <w:tc>
          <w:tcPr>
            <w:tcW w:type="dxa" w:w="3360"/>
            <w:vAlign w:val="center"/>
            <w:shd w:fill="D9EAF7"/>
          </w:tcPr>
          <w:p>
            <w:r/>
            <w:r>
              <w:rPr>
                <w:b/>
                <w:sz w:val="17"/>
              </w:rPr>
              <w:t>Time</w:t>
            </w:r>
          </w:p>
        </w:tc>
        <w:tc>
          <w:tcPr>
            <w:tcW w:type="dxa" w:w="3360"/>
            <w:vAlign w:val="center"/>
            <w:shd w:fill="D9EAF7"/>
          </w:tcPr>
          <w:p>
            <w:r/>
            <w:r>
              <w:rPr>
                <w:b/>
                <w:sz w:val="17"/>
              </w:rPr>
              <w:t>Demo</w:t>
            </w:r>
          </w:p>
        </w:tc>
      </w:tr>
      <w:tr>
        <w:tc>
          <w:tcPr>
            <w:tcW w:type="dxa" w:w="3360"/>
            <w:vAlign w:val="center"/>
          </w:tcPr>
          <w:p>
            <w:r/>
            <w:r>
              <w:rPr>
                <w:b w:val="0"/>
                <w:sz w:val="17"/>
              </w:rPr>
              <w:t>Problem framing</w:t>
            </w:r>
          </w:p>
        </w:tc>
        <w:tc>
          <w:tcPr>
            <w:tcW w:type="dxa" w:w="3360"/>
            <w:vAlign w:val="center"/>
          </w:tcPr>
          <w:p>
            <w:r/>
            <w:r>
              <w:rPr>
                <w:b w:val="0"/>
                <w:sz w:val="17"/>
              </w:rPr>
              <w:t>2 min</w:t>
            </w:r>
          </w:p>
        </w:tc>
        <w:tc>
          <w:tcPr>
            <w:tcW w:type="dxa" w:w="3360"/>
            <w:vAlign w:val="center"/>
          </w:tcPr>
          <w:p>
            <w:r/>
            <w:r>
              <w:rPr>
                <w:b w:val="0"/>
                <w:sz w:val="17"/>
              </w:rPr>
              <w:t>Show freight volatility, reactive procurement, vessel/port mismatch, and idle problem.</w:t>
            </w:r>
          </w:p>
        </w:tc>
      </w:tr>
      <w:tr>
        <w:tc>
          <w:tcPr>
            <w:tcW w:type="dxa" w:w="3360"/>
            <w:vAlign w:val="center"/>
          </w:tcPr>
          <w:p>
            <w:r/>
            <w:r>
              <w:rPr>
                <w:b w:val="0"/>
                <w:sz w:val="17"/>
              </w:rPr>
              <w:t>Forecast</w:t>
            </w:r>
          </w:p>
        </w:tc>
        <w:tc>
          <w:tcPr>
            <w:tcW w:type="dxa" w:w="3360"/>
            <w:vAlign w:val="center"/>
          </w:tcPr>
          <w:p>
            <w:r/>
            <w:r>
              <w:rPr>
                <w:b w:val="0"/>
                <w:sz w:val="17"/>
              </w:rPr>
              <w:t>4 min</w:t>
            </w:r>
          </w:p>
        </w:tc>
        <w:tc>
          <w:tcPr>
            <w:tcW w:type="dxa" w:w="3360"/>
            <w:vAlign w:val="center"/>
          </w:tcPr>
          <w:p>
            <w:r/>
            <w:r>
              <w:rPr>
                <w:b w:val="0"/>
                <w:sz w:val="17"/>
              </w:rPr>
              <w:t>Select route/commodity; show 90-day forecast, confidence band, model components and drivers.</w:t>
            </w:r>
          </w:p>
        </w:tc>
      </w:tr>
      <w:tr>
        <w:tc>
          <w:tcPr>
            <w:tcW w:type="dxa" w:w="3360"/>
            <w:vAlign w:val="center"/>
          </w:tcPr>
          <w:p>
            <w:r/>
            <w:r>
              <w:rPr>
                <w:b w:val="0"/>
                <w:sz w:val="17"/>
              </w:rPr>
              <w:t>Vessel optimization</w:t>
            </w:r>
          </w:p>
        </w:tc>
        <w:tc>
          <w:tcPr>
            <w:tcW w:type="dxa" w:w="3360"/>
            <w:vAlign w:val="center"/>
          </w:tcPr>
          <w:p>
            <w:r/>
            <w:r>
              <w:rPr>
                <w:b w:val="0"/>
                <w:sz w:val="17"/>
              </w:rPr>
              <w:t>2 min</w:t>
            </w:r>
          </w:p>
        </w:tc>
        <w:tc>
          <w:tcPr>
            <w:tcW w:type="dxa" w:w="3360"/>
            <w:vAlign w:val="center"/>
          </w:tcPr>
          <w:p>
            <w:r/>
            <w:r>
              <w:rPr>
                <w:b w:val="0"/>
                <w:sz w:val="17"/>
              </w:rPr>
              <w:t>Show ranked vessel types and port-constraint filtering.</w:t>
            </w:r>
          </w:p>
        </w:tc>
      </w:tr>
      <w:tr>
        <w:tc>
          <w:tcPr>
            <w:tcW w:type="dxa" w:w="3360"/>
            <w:vAlign w:val="center"/>
          </w:tcPr>
          <w:p>
            <w:r/>
            <w:r>
              <w:rPr>
                <w:b w:val="0"/>
                <w:sz w:val="17"/>
              </w:rPr>
              <w:t>Multi-voyage plan</w:t>
            </w:r>
          </w:p>
        </w:tc>
        <w:tc>
          <w:tcPr>
            <w:tcW w:type="dxa" w:w="3360"/>
            <w:vAlign w:val="center"/>
          </w:tcPr>
          <w:p>
            <w:r/>
            <w:r>
              <w:rPr>
                <w:b w:val="0"/>
                <w:sz w:val="17"/>
              </w:rPr>
              <w:t>3 min</w:t>
            </w:r>
          </w:p>
        </w:tc>
        <w:tc>
          <w:tcPr>
            <w:tcW w:type="dxa" w:w="3360"/>
            <w:vAlign w:val="center"/>
          </w:tcPr>
          <w:p>
            <w:r/>
            <w:r>
              <w:rPr>
                <w:b w:val="0"/>
                <w:sz w:val="17"/>
              </w:rPr>
              <w:t>Show 3-voyage Gantt, idle reduction, and savings versus spot.</w:t>
            </w:r>
          </w:p>
        </w:tc>
      </w:tr>
      <w:tr>
        <w:tc>
          <w:tcPr>
            <w:tcW w:type="dxa" w:w="3360"/>
            <w:vAlign w:val="center"/>
          </w:tcPr>
          <w:p>
            <w:r/>
            <w:r>
              <w:rPr>
                <w:b w:val="0"/>
                <w:sz w:val="17"/>
              </w:rPr>
              <w:t>Sensitivity</w:t>
            </w:r>
          </w:p>
        </w:tc>
        <w:tc>
          <w:tcPr>
            <w:tcW w:type="dxa" w:w="3360"/>
            <w:vAlign w:val="center"/>
          </w:tcPr>
          <w:p>
            <w:r/>
            <w:r>
              <w:rPr>
                <w:b w:val="0"/>
                <w:sz w:val="17"/>
              </w:rPr>
              <w:t>2 min</w:t>
            </w:r>
          </w:p>
        </w:tc>
        <w:tc>
          <w:tcPr>
            <w:tcW w:type="dxa" w:w="3360"/>
            <w:vAlign w:val="center"/>
          </w:tcPr>
          <w:p>
            <w:r/>
            <w:r>
              <w:rPr>
                <w:b w:val="0"/>
                <w:sz w:val="17"/>
              </w:rPr>
              <w:t>Change fuel +10% or congestion; show updated forecast/recommendation.</w:t>
            </w:r>
          </w:p>
        </w:tc>
      </w:tr>
      <w:tr>
        <w:tc>
          <w:tcPr>
            <w:tcW w:type="dxa" w:w="3360"/>
            <w:vAlign w:val="center"/>
          </w:tcPr>
          <w:p>
            <w:r/>
            <w:r>
              <w:rPr>
                <w:b w:val="0"/>
                <w:sz w:val="17"/>
              </w:rPr>
              <w:t>Impact + Q&amp;A</w:t>
            </w:r>
          </w:p>
        </w:tc>
        <w:tc>
          <w:tcPr>
            <w:tcW w:type="dxa" w:w="3360"/>
            <w:vAlign w:val="center"/>
          </w:tcPr>
          <w:p>
            <w:r/>
            <w:r>
              <w:rPr>
                <w:b w:val="0"/>
                <w:sz w:val="17"/>
              </w:rPr>
              <w:t>2 min</w:t>
            </w:r>
          </w:p>
        </w:tc>
        <w:tc>
          <w:tcPr>
            <w:tcW w:type="dxa" w:w="3360"/>
            <w:vAlign w:val="center"/>
          </w:tcPr>
          <w:p>
            <w:r/>
            <w:r>
              <w:rPr>
                <w:b w:val="0"/>
                <w:sz w:val="17"/>
              </w:rPr>
              <w:t>Show measured backtest metrics, scalability, fallback, and roadmap.</w:t>
            </w:r>
          </w:p>
        </w:tc>
      </w:tr>
    </w:tbl>
    <w:p>
      <w:pPr>
        <w:spacing w:after="40"/>
      </w:pPr>
    </w:p>
    <w:p>
      <w:pPr>
        <w:pStyle w:val="Heading2"/>
      </w:pPr>
      <w:r>
        <w:t>19.2 Anticipated Judge Questions</w:t>
      </w:r>
    </w:p>
    <w:p>
      <w:pPr>
        <w:spacing w:after="80"/>
      </w:pPr>
      <w:r>
        <w:rPr>
          <w:b/>
        </w:rPr>
        <w:t>Q: What if fuel prices spike 30% overnight?</w:t>
      </w:r>
      <w:r>
        <w:br/>
        <w:t>A: Use volatility/anomaly features and scenario sensitivity; confidence intervals widen when uncertainty rises. Retraining and refreshed features allow adaptation. Do not claim exact spike behavior unless validated.</w:t>
      </w:r>
    </w:p>
    <w:p>
      <w:pPr>
        <w:spacing w:after="80"/>
      </w:pPr>
      <w:r>
        <w:rPr>
          <w:b/>
        </w:rPr>
        <w:t>Q: How do you get proprietary congestion data?</w:t>
      </w:r>
      <w:r>
        <w:br/>
        <w:t>A: The MVP uses AIS-derived queue length, public port wait/berth information, and other transparent proxies. The model is designed to accept better data sources later.</w:t>
      </w:r>
    </w:p>
    <w:p>
      <w:pPr>
        <w:spacing w:after="80"/>
      </w:pPr>
      <w:r>
        <w:rPr>
          <w:b/>
        </w:rPr>
        <w:t>Q: Why not just use a moving average or broker?</w:t>
      </w:r>
      <w:r>
        <w:br/>
        <w:t>A: Backtesting should demonstrate whether the ensemble improves error and decision value. The system additionally exposes uncertainty, drivers, and operational constraints.</w:t>
      </w:r>
    </w:p>
    <w:p>
      <w:pPr>
        <w:spacing w:after="80"/>
      </w:pPr>
      <w:r>
        <w:rPr>
          <w:b/>
        </w:rPr>
        <w:t>Q: How does this scale?</w:t>
      </w:r>
      <w:r>
        <w:br/>
        <w:t>A: Route/commodity modules can be trained independently; Airflow can parallelize retraining; FastAPI is stateless; Redis caches repeated queries; database indexes support time-series retrieval.</w:t>
      </w:r>
    </w:p>
    <w:p>
      <w:pPr>
        <w:spacing w:after="80"/>
      </w:pPr>
      <w:r>
        <w:rPr>
          <w:b/>
        </w:rPr>
        <w:t>Q: Why four vessel types?</w:t>
      </w:r>
      <w:r>
        <w:br/>
        <w:t>A: They represent the main bulk-vessel classes in the PRD and make the recommendation concrete while allowing port constraints to eliminate infeasible choices.</w:t>
      </w:r>
    </w:p>
    <w:p>
      <w:pPr>
        <w:spacing w:after="80"/>
      </w:pPr>
      <w:r>
        <w:rPr>
          <w:b/>
        </w:rPr>
        <w:t>Q: Why dynamic programming instead of RL?</w:t>
      </w:r>
      <w:r>
        <w:br/>
        <w:t>A: DP is more deterministic, explainable, and feasible for a hackathon. RL is an optional extension once a richer simulator and sufficient data exist.</w:t>
      </w:r>
    </w:p>
    <w:p>
      <w:pPr>
        <w:pStyle w:val="Heading1"/>
      </w:pPr>
      <w:r>
        <w:t>20. Resources, Dependencies &amp; Hardware</w:t>
      </w:r>
    </w:p>
    <w:p>
      <w:pPr>
        <w:pStyle w:val="Heading2"/>
      </w:pPr>
      <w:r>
        <w:t>20.1 Reference Data / Services</w:t>
      </w:r>
    </w:p>
    <w:p>
      <w:pPr>
        <w:pStyle w:val="ListBullet"/>
        <w:spacing w:after="20"/>
      </w:pPr>
      <w:r>
        <w:t>Kaggle maritime freight datasets for BDI/SCFI and related historical shipping data.</w:t>
      </w:r>
    </w:p>
    <w:p>
      <w:pPr>
        <w:pStyle w:val="ListBullet"/>
        <w:spacing w:after="20"/>
      </w:pPr>
      <w:r>
        <w:t>EIA/IEA historical fuel-price datasets or equivalent accessible public market data.</w:t>
      </w:r>
    </w:p>
    <w:p>
      <w:pPr>
        <w:pStyle w:val="ListBullet"/>
        <w:spacing w:after="20"/>
      </w:pPr>
      <w:r>
        <w:t>MarineTraffic AIS services where access is available; otherwise public/Kaggle AIS subsets.</w:t>
      </w:r>
    </w:p>
    <w:p>
      <w:pPr>
        <w:pStyle w:val="ListBullet"/>
        <w:spacing w:after="20"/>
      </w:pPr>
      <w:r>
        <w:t>Trading Economics / CEIC / commodity datasets where licensing/access permits.</w:t>
      </w:r>
    </w:p>
    <w:p>
      <w:pPr>
        <w:pStyle w:val="ListBullet"/>
        <w:spacing w:after="20"/>
      </w:pPr>
      <w:r>
        <w:t>Port authority websites/PDFs and DGFT shipping indices for port constraints.</w:t>
      </w:r>
    </w:p>
    <w:p>
      <w:pPr>
        <w:pStyle w:val="ListBullet"/>
        <w:spacing w:after="20"/>
      </w:pPr>
      <w:r>
        <w:t>NOAA / India Meteorological / Copernicus weather sources where required.</w:t>
      </w:r>
    </w:p>
    <w:p>
      <w:pPr>
        <w:pStyle w:val="Heading2"/>
      </w:pPr>
      <w:r>
        <w:t>20.2 Development &amp; Infrastructure</w:t>
      </w:r>
    </w:p>
    <w:p>
      <w:pPr>
        <w:pStyle w:val="ListBullet"/>
        <w:spacing w:after="20"/>
      </w:pPr>
      <w:r>
        <w:t>Local: VS Code, Git, Docker Desktop.</w:t>
      </w:r>
    </w:p>
    <w:p>
      <w:pPr>
        <w:pStyle w:val="ListBullet"/>
        <w:spacing w:after="20"/>
      </w:pPr>
      <w:r>
        <w:t>MVP hosting: Render/Railway; production architecture can move to AWS EC2 + RDS.</w:t>
      </w:r>
    </w:p>
    <w:p>
      <w:pPr>
        <w:pStyle w:val="ListBullet"/>
        <w:spacing w:after="20"/>
      </w:pPr>
      <w:r>
        <w:t>MLOps: MLflow; DVC; optional W&amp;B academic/free tier.</w:t>
      </w:r>
    </w:p>
    <w:p>
      <w:pPr>
        <w:pStyle w:val="ListBullet"/>
        <w:spacing w:after="20"/>
      </w:pPr>
      <w:r>
        <w:t>Monitoring: Grafana Cloud/free tier and local Prometheus.</w:t>
      </w:r>
    </w:p>
    <w:p>
      <w:pPr>
        <w:pStyle w:val="ListBullet"/>
        <w:spacing w:after="20"/>
      </w:pPr>
      <w:r>
        <w:t>Training: approximately 4-core CPU and 8 GB RAM baseline; GPU/Colab/Kaggle can accelerate LSTM.</w:t>
      </w:r>
    </w:p>
    <w:p>
      <w:pPr>
        <w:pStyle w:val="ListBullet"/>
        <w:spacing w:after="20"/>
      </w:pPr>
      <w:r>
        <w:t>Inference: approximately 2-core CPU and 2 GB RAM for MVP; model caching can reduce latency.</w:t>
      </w:r>
    </w:p>
    <w:p>
      <w:pPr>
        <w:pStyle w:val="ListBullet"/>
        <w:spacing w:after="20"/>
      </w:pPr>
      <w:r>
        <w:t>Storage: approximately 5 GB for initial model/data artifacts, increasing with AIS history.</w:t>
      </w:r>
    </w:p>
    <w:p>
      <w:pPr>
        <w:pStyle w:val="Heading1"/>
      </w:pPr>
      <w:r>
        <w:t>21. Final Hackathon Acceptance Criteria</w:t>
      </w:r>
    </w:p>
    <w:p>
      <w:pPr>
        <w:pStyle w:val="ListBullet"/>
        <w:spacing w:after="20"/>
      </w:pPr>
      <w:r>
        <w:t>✓ Live forecast demonstrated on at least 3 routes/origins without crashes.</w:t>
      </w:r>
    </w:p>
    <w:p>
      <w:pPr>
        <w:pStyle w:val="ListBullet"/>
        <w:spacing w:after="20"/>
      </w:pPr>
      <w:r>
        <w:t>✓ Ensemble achieves MAPE &lt;15% on a documented test/backtest dataset, or the actual measured result is transparently reported if the target is not achieved.</w:t>
      </w:r>
    </w:p>
    <w:p>
      <w:pPr>
        <w:pStyle w:val="ListBullet"/>
        <w:spacing w:after="20"/>
      </w:pPr>
      <w:r>
        <w:t>✓ Procurement recommendation is actionable and backed by forecast + uncertainty + drivers.</w:t>
      </w:r>
    </w:p>
    <w:p>
      <w:pPr>
        <w:pStyle w:val="ListBullet"/>
        <w:spacing w:after="20"/>
      </w:pPr>
      <w:r>
        <w:t>✓ Vessel recommendation ranks feasible vessel types and rejects incompatible port/vessel combinations.</w:t>
      </w:r>
    </w:p>
    <w:p>
      <w:pPr>
        <w:pStyle w:val="ListBullet"/>
        <w:spacing w:after="20"/>
      </w:pPr>
      <w:r>
        <w:t>✓ Multi-voyage demo produces a coordinated schedule and quantifies idle/cost change against a defined baseline.</w:t>
      </w:r>
    </w:p>
    <w:p>
      <w:pPr>
        <w:pStyle w:val="ListBullet"/>
        <w:spacing w:after="20"/>
      </w:pPr>
      <w:r>
        <w:t>✓ Sensitivity analysis visibly changes forecast/recommendation for a scenario such as fuel +10%.</w:t>
      </w:r>
    </w:p>
    <w:p>
      <w:pPr>
        <w:pStyle w:val="ListBullet"/>
        <w:spacing w:after="20"/>
      </w:pPr>
      <w:r>
        <w:t>✓ API p95 latency target &lt;500 ms is tested and reported.</w:t>
      </w:r>
    </w:p>
    <w:p>
      <w:pPr>
        <w:pStyle w:val="ListBullet"/>
        <w:spacing w:after="20"/>
      </w:pPr>
      <w:r>
        <w:t>✓ Test coverage target &gt;80% for production code, with unit + integration coverage of critical paths.</w:t>
      </w:r>
    </w:p>
    <w:p>
      <w:pPr>
        <w:pStyle w:val="ListBullet"/>
        <w:spacing w:after="20"/>
      </w:pPr>
      <w:r>
        <w:t>✓ docker-compose setup works locally and an offline/canned demo is available.</w:t>
      </w:r>
    </w:p>
    <w:p>
      <w:pPr>
        <w:pStyle w:val="ListBullet"/>
        <w:spacing w:after="20"/>
      </w:pPr>
      <w:r>
        <w:t>✓ README contains architecture, setup, data assumptions, API docs, model metrics, and limitations.</w:t>
      </w:r>
    </w:p>
    <w:p>
      <w:pPr>
        <w:pStyle w:val="ListBullet"/>
        <w:spacing w:after="20"/>
      </w:pPr>
      <w:r>
        <w:t>✓ Every headline savings/accuracy metric is backed by a reproducible calculation or explicitly labeled as a target/illustrative scenario.</w:t>
      </w:r>
    </w:p>
    <w:p>
      <w:pPr>
        <w:pStyle w:val="Heading1"/>
      </w:pPr>
      <w:r>
        <w:t>Appendix A — Quick Reference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7"/>
              </w:rPr>
              <w:t>Metric / Component</w:t>
            </w:r>
          </w:p>
        </w:tc>
        <w:tc>
          <w:tcPr>
            <w:tcW w:type="dxa" w:w="5040"/>
            <w:vAlign w:val="center"/>
            <w:shd w:fill="D9EAF7"/>
          </w:tcPr>
          <w:p>
            <w:r/>
            <w:r>
              <w:rPr>
                <w:b/>
                <w:sz w:val="17"/>
              </w:rPr>
              <w:t>Final Target / Baseline</w:t>
            </w:r>
          </w:p>
        </w:tc>
      </w:tr>
      <w:tr>
        <w:tc>
          <w:tcPr>
            <w:tcW w:type="dxa" w:w="5040"/>
            <w:vAlign w:val="center"/>
          </w:tcPr>
          <w:p>
            <w:r/>
            <w:r>
              <w:rPr>
                <w:b w:val="0"/>
                <w:sz w:val="17"/>
              </w:rPr>
              <w:t>Forecast horizons</w:t>
            </w:r>
          </w:p>
        </w:tc>
        <w:tc>
          <w:tcPr>
            <w:tcW w:type="dxa" w:w="5040"/>
            <w:vAlign w:val="center"/>
          </w:tcPr>
          <w:p>
            <w:r/>
            <w:r>
              <w:rPr>
                <w:b w:val="0"/>
                <w:sz w:val="17"/>
              </w:rPr>
              <w:t>14 / 30 / 90 days</w:t>
            </w:r>
          </w:p>
        </w:tc>
      </w:tr>
      <w:tr>
        <w:tc>
          <w:tcPr>
            <w:tcW w:type="dxa" w:w="5040"/>
            <w:vAlign w:val="center"/>
          </w:tcPr>
          <w:p>
            <w:r/>
            <w:r>
              <w:rPr>
                <w:b w:val="0"/>
                <w:sz w:val="17"/>
              </w:rPr>
              <w:t>Forecast quality target</w:t>
            </w:r>
          </w:p>
        </w:tc>
        <w:tc>
          <w:tcPr>
            <w:tcW w:type="dxa" w:w="5040"/>
            <w:vAlign w:val="center"/>
          </w:tcPr>
          <w:p>
            <w:r/>
            <w:r>
              <w:rPr>
                <w:b w:val="0"/>
                <w:sz w:val="17"/>
              </w:rPr>
              <w:t>MAPE &lt;15%</w:t>
            </w:r>
          </w:p>
        </w:tc>
      </w:tr>
      <w:tr>
        <w:tc>
          <w:tcPr>
            <w:tcW w:type="dxa" w:w="5040"/>
            <w:vAlign w:val="center"/>
          </w:tcPr>
          <w:p>
            <w:r/>
            <w:r>
              <w:rPr>
                <w:b w:val="0"/>
                <w:sz w:val="17"/>
              </w:rPr>
              <w:t>Ensemble</w:t>
            </w:r>
          </w:p>
        </w:tc>
        <w:tc>
          <w:tcPr>
            <w:tcW w:type="dxa" w:w="5040"/>
            <w:vAlign w:val="center"/>
          </w:tcPr>
          <w:p>
            <w:r/>
            <w:r>
              <w:rPr>
                <w:b w:val="0"/>
                <w:sz w:val="17"/>
              </w:rPr>
              <w:t>0.25 Prophet + 0.40 LSTM + 0.35 XGBoost</w:t>
            </w:r>
          </w:p>
        </w:tc>
      </w:tr>
      <w:tr>
        <w:tc>
          <w:tcPr>
            <w:tcW w:type="dxa" w:w="5040"/>
            <w:vAlign w:val="center"/>
          </w:tcPr>
          <w:p>
            <w:r/>
            <w:r>
              <w:rPr>
                <w:b w:val="0"/>
                <w:sz w:val="17"/>
              </w:rPr>
              <w:t>Vessel classes</w:t>
            </w:r>
          </w:p>
        </w:tc>
        <w:tc>
          <w:tcPr>
            <w:tcW w:type="dxa" w:w="5040"/>
            <w:vAlign w:val="center"/>
          </w:tcPr>
          <w:p>
            <w:r/>
            <w:r>
              <w:rPr>
                <w:b w:val="0"/>
                <w:sz w:val="17"/>
              </w:rPr>
              <w:t>Handysize / Supramax / Panamax / Capesize</w:t>
            </w:r>
          </w:p>
        </w:tc>
      </w:tr>
      <w:tr>
        <w:tc>
          <w:tcPr>
            <w:tcW w:type="dxa" w:w="5040"/>
            <w:vAlign w:val="center"/>
          </w:tcPr>
          <w:p>
            <w:r/>
            <w:r>
              <w:rPr>
                <w:b w:val="0"/>
                <w:sz w:val="17"/>
              </w:rPr>
              <w:t>East Coast ports</w:t>
            </w:r>
          </w:p>
        </w:tc>
        <w:tc>
          <w:tcPr>
            <w:tcW w:type="dxa" w:w="5040"/>
            <w:vAlign w:val="center"/>
          </w:tcPr>
          <w:p>
            <w:r/>
            <w:r>
              <w:rPr>
                <w:b w:val="0"/>
                <w:sz w:val="17"/>
              </w:rPr>
              <w:t>7 ports in MVP constraint matrix</w:t>
            </w:r>
          </w:p>
        </w:tc>
      </w:tr>
      <w:tr>
        <w:tc>
          <w:tcPr>
            <w:tcW w:type="dxa" w:w="5040"/>
            <w:vAlign w:val="center"/>
          </w:tcPr>
          <w:p>
            <w:r/>
            <w:r>
              <w:rPr>
                <w:b w:val="0"/>
                <w:sz w:val="17"/>
              </w:rPr>
              <w:t>Origin focus</w:t>
            </w:r>
          </w:p>
        </w:tc>
        <w:tc>
          <w:tcPr>
            <w:tcW w:type="dxa" w:w="5040"/>
            <w:vAlign w:val="center"/>
          </w:tcPr>
          <w:p>
            <w:r/>
            <w:r>
              <w:rPr>
                <w:b w:val="0"/>
                <w:sz w:val="17"/>
              </w:rPr>
              <w:t>Australia / US / Mozambique / Russia / Indonesia</w:t>
            </w:r>
          </w:p>
        </w:tc>
      </w:tr>
      <w:tr>
        <w:tc>
          <w:tcPr>
            <w:tcW w:type="dxa" w:w="5040"/>
            <w:vAlign w:val="center"/>
          </w:tcPr>
          <w:p>
            <w:r/>
            <w:r>
              <w:rPr>
                <w:b w:val="0"/>
                <w:sz w:val="17"/>
              </w:rPr>
              <w:t>Commodities</w:t>
            </w:r>
          </w:p>
        </w:tc>
        <w:tc>
          <w:tcPr>
            <w:tcW w:type="dxa" w:w="5040"/>
            <w:vAlign w:val="center"/>
          </w:tcPr>
          <w:p>
            <w:r/>
            <w:r>
              <w:rPr>
                <w:b w:val="0"/>
                <w:sz w:val="17"/>
              </w:rPr>
              <w:t>Iron ore / coal / fertilizers / grains + mapped flows</w:t>
            </w:r>
          </w:p>
        </w:tc>
      </w:tr>
      <w:tr>
        <w:tc>
          <w:tcPr>
            <w:tcW w:type="dxa" w:w="5040"/>
            <w:vAlign w:val="center"/>
          </w:tcPr>
          <w:p>
            <w:r/>
            <w:r>
              <w:rPr>
                <w:b w:val="0"/>
                <w:sz w:val="17"/>
              </w:rPr>
              <w:t>Forecast API</w:t>
            </w:r>
          </w:p>
        </w:tc>
        <w:tc>
          <w:tcPr>
            <w:tcW w:type="dxa" w:w="5040"/>
            <w:vAlign w:val="center"/>
          </w:tcPr>
          <w:p>
            <w:r/>
            <w:r>
              <w:rPr>
                <w:b w:val="0"/>
                <w:sz w:val="17"/>
              </w:rPr>
              <w:t>&lt;500 ms p95 target</w:t>
            </w:r>
          </w:p>
        </w:tc>
      </w:tr>
      <w:tr>
        <w:tc>
          <w:tcPr>
            <w:tcW w:type="dxa" w:w="5040"/>
            <w:vAlign w:val="center"/>
          </w:tcPr>
          <w:p>
            <w:r/>
            <w:r>
              <w:rPr>
                <w:b w:val="0"/>
                <w:sz w:val="17"/>
              </w:rPr>
              <w:t>Concurrency</w:t>
            </w:r>
          </w:p>
        </w:tc>
        <w:tc>
          <w:tcPr>
            <w:tcW w:type="dxa" w:w="5040"/>
            <w:vAlign w:val="center"/>
          </w:tcPr>
          <w:p>
            <w:r/>
            <w:r>
              <w:rPr>
                <w:b w:val="0"/>
                <w:sz w:val="17"/>
              </w:rPr>
              <w:t>100+ concurrent requests target</w:t>
            </w:r>
          </w:p>
        </w:tc>
      </w:tr>
      <w:tr>
        <w:tc>
          <w:tcPr>
            <w:tcW w:type="dxa" w:w="5040"/>
            <w:vAlign w:val="center"/>
          </w:tcPr>
          <w:p>
            <w:r/>
            <w:r>
              <w:rPr>
                <w:b w:val="0"/>
                <w:sz w:val="17"/>
              </w:rPr>
              <w:t>Retraining</w:t>
            </w:r>
          </w:p>
        </w:tc>
        <w:tc>
          <w:tcPr>
            <w:tcW w:type="dxa" w:w="5040"/>
            <w:vAlign w:val="center"/>
          </w:tcPr>
          <w:p>
            <w:r/>
            <w:r>
              <w:rPr>
                <w:b w:val="0"/>
                <w:sz w:val="17"/>
              </w:rPr>
              <w:t>Weekly; data refresh daily where applicable</w:t>
            </w:r>
          </w:p>
        </w:tc>
      </w:tr>
      <w:tr>
        <w:tc>
          <w:tcPr>
            <w:tcW w:type="dxa" w:w="5040"/>
            <w:vAlign w:val="center"/>
          </w:tcPr>
          <w:p>
            <w:r/>
            <w:r>
              <w:rPr>
                <w:b w:val="0"/>
                <w:sz w:val="17"/>
              </w:rPr>
              <w:t>MVP deployment</w:t>
            </w:r>
          </w:p>
        </w:tc>
        <w:tc>
          <w:tcPr>
            <w:tcW w:type="dxa" w:w="5040"/>
            <w:vAlign w:val="center"/>
          </w:tcPr>
          <w:p>
            <w:r/>
            <w:r>
              <w:rPr>
                <w:b w:val="0"/>
                <w:sz w:val="17"/>
              </w:rPr>
              <w:t>Docker + Render/Railway; localhost fallback</w:t>
            </w:r>
          </w:p>
        </w:tc>
      </w:tr>
      <w:tr>
        <w:tc>
          <w:tcPr>
            <w:tcW w:type="dxa" w:w="5040"/>
            <w:vAlign w:val="center"/>
          </w:tcPr>
          <w:p>
            <w:r/>
            <w:r>
              <w:rPr>
                <w:b w:val="0"/>
                <w:sz w:val="17"/>
              </w:rPr>
              <w:t>Production direction</w:t>
            </w:r>
          </w:p>
        </w:tc>
        <w:tc>
          <w:tcPr>
            <w:tcW w:type="dxa" w:w="5040"/>
            <w:vAlign w:val="center"/>
          </w:tcPr>
          <w:p>
            <w:r/>
            <w:r>
              <w:rPr>
                <w:b w:val="0"/>
                <w:sz w:val="17"/>
              </w:rPr>
              <w:t>AWS + scalable stateless FastAPI + managed DB/cache</w:t>
            </w:r>
          </w:p>
        </w:tc>
      </w:tr>
    </w:tbl>
    <w:p>
      <w:pPr>
        <w:spacing w:after="40"/>
      </w:pPr>
    </w:p>
    <w:p>
      <w:pPr>
        <w:pStyle w:val="Heading1"/>
      </w:pPr>
      <w:r>
        <w:t>Appendix B — Version Consolidation Note</w:t>
      </w:r>
    </w:p>
    <w:p>
      <w:pPr>
        <w:spacing w:after="80"/>
      </w:pPr>
      <w:r>
        <w:t>Version 3.0 is the consolidated SIH 2026 PRD. PRD v1.0 supplied the detailed baseline forecasting architecture, full API/dashboard specification, technology stack, six-week execution plan, 72-hour plan, risk controls, demo script, judge Q&amp;A, and winning strategy. Updated PRD v2.0 supplied the expanded operational scope: four solution pillars, seven-port constraint matrix, origin flows, vessel classifier, multi-voyage/idle optimization, sensitivity analysis, expanded endpoints, and updated acceptance criteria. This final version combines those elements into a single implementation-oriented specification.</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SIH26006 • Intelligent Freight Forecasting &amp; Vessel Optimization • Final PRD v3.0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rPr>
      <w:rFonts w:ascii="Aptos" w:hAnsi="Apto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