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20"/>
        <w:ind w:left="0" w:right="0"/>
      </w:pPr>
    </w:p>
    <w:p>
      <w:pPr>
        <w:sectPr>
          <w:pgSz w:w="12240" w:h="15840"/>
          <w:pgMar w:top="0" w:right="0" w:bottom="14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7700" cy="190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7700" cy="152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55700" cy="139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002" w:lineRule="exact" w:before="0" w:after="0"/>
        <w:ind w:left="510" w:right="0" w:firstLine="0"/>
        <w:jc w:val="left"/>
      </w:pPr>
      <w:r>
        <w:rPr>
          <w:rFonts w:ascii="AkkuratLL" w:hAnsi="AkkuratLL" w:eastAsia="AkkuratLL"/>
          <w:b w:val="0"/>
          <w:i w:val="0"/>
          <w:color w:val="D5002A"/>
          <w:sz w:val="72"/>
        </w:rPr>
        <w:t>Coal Trader</w:t>
      </w:r>
    </w:p>
    <w:p>
      <w:pPr>
        <w:autoSpaceDN w:val="0"/>
        <w:autoSpaceDE w:val="0"/>
        <w:widowControl/>
        <w:spacing w:line="268" w:lineRule="exact" w:before="88" w:after="0"/>
        <w:ind w:left="56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20"/>
        </w:rPr>
        <w:t>Monday, September 16, 2024</w:t>
      </w:r>
    </w:p>
    <w:p>
      <w:pPr>
        <w:autoSpaceDN w:val="0"/>
        <w:autoSpaceDE w:val="0"/>
        <w:widowControl/>
        <w:spacing w:line="312" w:lineRule="exact" w:before="442" w:after="0"/>
        <w:ind w:left="566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>US OTC coals open week with unchanged finishes</w:t>
      </w:r>
    </w:p>
    <w:p>
      <w:pPr>
        <w:autoSpaceDN w:val="0"/>
        <w:autoSpaceDE w:val="0"/>
        <w:widowControl/>
        <w:spacing w:line="242" w:lineRule="exact" w:before="250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September weather expected at or near norms</w:t>
      </w:r>
    </w:p>
    <w:p>
      <w:pPr>
        <w:autoSpaceDN w:val="0"/>
        <w:autoSpaceDE w:val="0"/>
        <w:widowControl/>
        <w:spacing w:line="242" w:lineRule="exact" w:before="68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NYMEX natural gas contract adds 6.8 cents</w:t>
      </w:r>
    </w:p>
    <w:p>
      <w:pPr>
        <w:autoSpaceDN w:val="0"/>
        <w:autoSpaceDE w:val="0"/>
        <w:widowControl/>
        <w:spacing w:line="240" w:lineRule="exact" w:before="146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US over-the-counter coals opened the week on Sept. 16 with 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slate of stable assessments, holding with average temperatures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expected nationwide in this shoulder season.</w:t>
      </w:r>
    </w:p>
    <w:p>
      <w:pPr>
        <w:autoSpaceDN w:val="0"/>
        <w:autoSpaceDE w:val="0"/>
        <w:widowControl/>
        <w:spacing w:line="240" w:lineRule="exact" w:before="2" w:after="0"/>
        <w:ind w:left="568" w:right="0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S&amp;P Global PointLogic data points to temperatures within 2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degrees Fahrenheit of seasonal norms through the end of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month. The Northeast forecast follows that expectation, while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Midcontinent temperatures could rise to 6 degrees above normal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the next week. Southeast temperatures are expected to stay at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or below seasonal averages through September.</w:t>
      </w:r>
    </w:p>
    <w:p>
      <w:pPr>
        <w:sectPr>
          <w:type w:val="continuous"/>
          <w:pgSz w:w="12240" w:h="15840"/>
          <w:pgMar w:top="0" w:right="0" w:bottom="140" w:left="0" w:header="720" w:footer="720" w:gutter="0"/>
          <w:cols w:num="2" w:equalWidth="0">
            <w:col w:w="6110" w:space="0"/>
            <w:col w:w="61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.00000000000023" w:type="dxa"/>
      </w:tblPr>
      <w:tblGrid>
        <w:gridCol w:w="12240"/>
      </w:tblGrid>
      <w:tr>
        <w:trPr>
          <w:trHeight w:hRule="exact" w:val="490"/>
        </w:trPr>
        <w:tc>
          <w:tcPr>
            <w:tcW w:type="dxa" w:w="6004"/>
            <w:tcBorders/>
            <w:shd w:fill="f0f0f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44" w:after="0"/>
              <w:ind w:left="200" w:right="0" w:firstLine="0"/>
              <w:jc w:val="left"/>
            </w:pPr>
            <w:r>
              <w:rPr>
                <w:rFonts w:ascii="AkkuratLL" w:hAnsi="AkkuratLL" w:eastAsia="AkkuratLL"/>
                <w:b/>
                <w:i w:val="0"/>
                <w:color w:val="221F1F"/>
                <w:sz w:val="22"/>
              </w:rPr>
              <w:t xml:space="preserve">Now available </w:t>
            </w:r>
            <w:r>
              <w:rPr>
                <w:rFonts w:ascii="AkkuratLL" w:hAnsi="AkkuratLL" w:eastAsia="AkkuratLL"/>
                <w:b/>
                <w:i w:val="0"/>
                <w:color w:val="D5002A"/>
                <w:sz w:val="22"/>
              </w:rPr>
              <w:t>digitally</w:t>
            </w:r>
            <w:r>
              <w:rPr>
                <w:rFonts w:ascii="AkkuratLL" w:hAnsi="AkkuratLL" w:eastAsia="AkkuratLL"/>
                <w:b/>
                <w:i w:val="0"/>
                <w:color w:val="221F1F"/>
                <w:sz w:val="22"/>
              </w:rPr>
              <w:t xml:space="preserve"> on Platts Connect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0.0" w:type="dxa"/>
      </w:tblPr>
      <w:tblGrid>
        <w:gridCol w:w="12240"/>
      </w:tblGrid>
      <w:tr>
        <w:trPr>
          <w:trHeight w:hRule="exact" w:val="458"/>
        </w:trPr>
        <w:tc>
          <w:tcPr>
            <w:tcW w:type="dxa" w:w="4820"/>
            <w:tcBorders/>
            <w:shd w:fill="f0f0f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76" w:right="1008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hyperlink r:id="rId12" w:history="1">
                <w:r>
                  <w:rPr>
                    <w:rStyle w:val="Hyperlink"/>
                  </w:rPr>
                  <w:t xml:space="preserve">Get access to this content </w:t>
                </w:r>
              </w:hyperlink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hyperlink r:id="rId12" w:history="1">
                <w:r>
                  <w:rPr>
                    <w:rStyle w:val="Hyperlink"/>
                  </w:rPr>
                  <w:t xml:space="preserve">plattsconnect.spglobal.com </w:t>
                </w:r>
              </w:hyperlink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| ci.support@spglobal.com</w:t>
            </w:r>
          </w:p>
        </w:tc>
      </w:tr>
    </w:tbl>
    <w:p>
      <w:pPr>
        <w:autoSpaceDN w:val="0"/>
        <w:autoSpaceDE w:val="0"/>
        <w:widowControl/>
        <w:spacing w:line="286" w:lineRule="exact" w:before="2040" w:after="40"/>
        <w:ind w:left="126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>Platts daily physical OTC assessments, Sep 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246"/>
        </w:trPr>
        <w:tc>
          <w:tcPr>
            <w:tcW w:type="dxa" w:w="1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Prompt month price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19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Symbol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Btu/lb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Mode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0" w:right="7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$/st </w:t>
            </w:r>
          </w:p>
        </w:tc>
        <w:tc>
          <w:tcPr>
            <w:tcW w:type="dxa" w:w="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Change</w:t>
            </w:r>
          </w:p>
        </w:tc>
      </w:tr>
      <w:tr>
        <w:trPr>
          <w:trHeight w:hRule="exact" w:val="196"/>
        </w:trPr>
        <w:tc>
          <w:tcPr>
            <w:tcW w:type="dxa" w:w="152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CAPP rail (CSX) OTC </w:t>
            </w:r>
          </w:p>
        </w:tc>
        <w:tc>
          <w:tcPr>
            <w:tcW w:type="dxa" w:w="7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192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CAKM001</w:t>
            </w:r>
          </w:p>
        </w:tc>
        <w:tc>
          <w:tcPr>
            <w:tcW w:type="dxa" w:w="7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94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12,500 </w:t>
            </w:r>
          </w:p>
        </w:tc>
        <w:tc>
          <w:tcPr>
            <w:tcW w:type="dxa" w:w="8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36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Rail </w:t>
            </w:r>
          </w:p>
        </w:tc>
        <w:tc>
          <w:tcPr>
            <w:tcW w:type="dxa" w:w="7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73.50</w:t>
            </w:r>
          </w:p>
        </w:tc>
        <w:tc>
          <w:tcPr>
            <w:tcW w:type="dxa" w:w="74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14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</w:p>
        </w:tc>
      </w:tr>
      <w:tr>
        <w:trPr>
          <w:trHeight w:hRule="exact" w:val="200"/>
        </w:trPr>
        <w:tc>
          <w:tcPr>
            <w:tcW w:type="dxa" w:w="15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8,800 OTC </w:t>
            </w:r>
          </w:p>
        </w:tc>
        <w:tc>
          <w:tcPr>
            <w:tcW w:type="dxa" w:w="7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104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CTAM001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8,800 </w:t>
            </w:r>
          </w:p>
        </w:tc>
        <w:tc>
          <w:tcPr>
            <w:tcW w:type="dxa" w:w="8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36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Rail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13.95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14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</w:p>
        </w:tc>
      </w:tr>
      <w:tr>
        <w:trPr>
          <w:trHeight w:hRule="exact" w:val="200"/>
        </w:trPr>
        <w:tc>
          <w:tcPr>
            <w:tcW w:type="dxa" w:w="15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8,400 OTC </w:t>
            </w:r>
          </w:p>
        </w:tc>
        <w:tc>
          <w:tcPr>
            <w:tcW w:type="dxa" w:w="7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194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CTBM001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8,400 </w:t>
            </w:r>
          </w:p>
        </w:tc>
        <w:tc>
          <w:tcPr>
            <w:tcW w:type="dxa" w:w="8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36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Rail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11.40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14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</w:p>
        </w:tc>
      </w:tr>
      <w:tr>
        <w:trPr>
          <w:trHeight w:hRule="exact" w:val="200"/>
        </w:trPr>
        <w:tc>
          <w:tcPr>
            <w:tcW w:type="dxa" w:w="15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IB 11,500* OTC </w:t>
            </w:r>
          </w:p>
        </w:tc>
        <w:tc>
          <w:tcPr>
            <w:tcW w:type="dxa" w:w="7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104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CISM001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94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11,500 </w:t>
            </w:r>
          </w:p>
        </w:tc>
        <w:tc>
          <w:tcPr>
            <w:tcW w:type="dxa" w:w="8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Barge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40.50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14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</w:p>
        </w:tc>
      </w:tr>
    </w:tbl>
    <w:p>
      <w:pPr>
        <w:autoSpaceDN w:val="0"/>
        <w:autoSpaceDE w:val="0"/>
        <w:widowControl/>
        <w:spacing w:line="170" w:lineRule="exact" w:before="104" w:after="0"/>
        <w:ind w:left="126" w:right="72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 xml:space="preserve">*Maximum 0.35% chlorine. See Platts Methodology and Specifications Guide at Platts.com </w:t>
      </w:r>
      <w:r>
        <w:rPr>
          <w:rFonts w:ascii="AkkuratLL" w:hAnsi="AkkuratLL" w:eastAsia="AkkuratLL"/>
          <w:b w:val="0"/>
          <w:i w:val="0"/>
          <w:color w:val="221F1F"/>
          <w:sz w:val="13"/>
        </w:rPr>
        <w:t>for details.</w:t>
      </w:r>
    </w:p>
    <w:p>
      <w:pPr>
        <w:autoSpaceDN w:val="0"/>
        <w:autoSpaceDE w:val="0"/>
        <w:widowControl/>
        <w:spacing w:line="284" w:lineRule="exact" w:before="570" w:after="40"/>
        <w:ind w:left="126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>Platts daily physical assessments, Sep 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246"/>
        </w:trPr>
        <w:tc>
          <w:tcPr>
            <w:tcW w:type="dxa" w:w="12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Prompt price </w:t>
            </w:r>
          </w:p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43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Symbol Kcal/kg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Basis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0" w:right="7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$/mt </w:t>
            </w:r>
          </w:p>
        </w:tc>
        <w:tc>
          <w:tcPr>
            <w:tcW w:type="dxa" w:w="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Change</w:t>
            </w:r>
          </w:p>
        </w:tc>
      </w:tr>
      <w:tr>
        <w:trPr>
          <w:trHeight w:hRule="exact" w:val="178"/>
        </w:trPr>
        <w:tc>
          <w:tcPr>
            <w:tcW w:type="dxa" w:w="128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CIF ARA </w:t>
            </w:r>
          </w:p>
        </w:tc>
        <w:tc>
          <w:tcPr>
            <w:tcW w:type="dxa" w:w="10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0" w:right="124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CSARM01</w:t>
            </w:r>
          </w:p>
        </w:tc>
        <w:tc>
          <w:tcPr>
            <w:tcW w:type="dxa" w:w="7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6,000 </w:t>
            </w:r>
          </w:p>
        </w:tc>
        <w:tc>
          <w:tcPr>
            <w:tcW w:type="dxa" w:w="8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NAR </w:t>
            </w:r>
          </w:p>
        </w:tc>
        <w:tc>
          <w:tcPr>
            <w:tcW w:type="dxa" w:w="7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7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110.80 </w:t>
            </w:r>
          </w:p>
        </w:tc>
        <w:tc>
          <w:tcPr>
            <w:tcW w:type="dxa" w:w="74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14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>-1.50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4"/>
        <w:ind w:left="0" w:right="0"/>
      </w:pPr>
    </w:p>
    <w:p>
      <w:pPr>
        <w:sectPr>
          <w:type w:val="nextColumn"/>
          <w:pgSz w:w="12240" w:h="15840"/>
          <w:pgMar w:top="0" w:right="0" w:bottom="140" w:left="0" w:header="720" w:footer="720" w:gutter="0"/>
          <w:cols w:num="2" w:equalWidth="0">
            <w:col w:w="6110" w:space="0"/>
            <w:col w:w="6130" w:space="0"/>
          </w:cols>
          <w:docGrid w:linePitch="360"/>
        </w:sectPr>
      </w:pPr>
    </w:p>
    <w:p>
      <w:pPr>
        <w:autoSpaceDN w:val="0"/>
        <w:tabs>
          <w:tab w:pos="6236" w:val="left"/>
        </w:tabs>
        <w:autoSpaceDE w:val="0"/>
        <w:widowControl/>
        <w:spacing w:line="188" w:lineRule="exact" w:before="0" w:after="92"/>
        <w:ind w:left="456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4"/>
          <w:u w:val="single"/>
        </w:rPr>
        <w:t xml:space="preserve">(continued on page 9) </w:t>
      </w:r>
      <w:r>
        <w:tab/>
      </w:r>
      <w:r>
        <w:rPr>
          <w:rFonts w:ascii="AkkuratLL" w:hAnsi="AkkuratLL" w:eastAsia="AkkuratLL"/>
          <w:b/>
          <w:i w:val="0"/>
          <w:color w:val="221F1F"/>
          <w:sz w:val="20"/>
        </w:rPr>
        <w:t>NYMEX Henry Hub natural gas futures, Sep 16</w:t>
      </w:r>
    </w:p>
    <w:p>
      <w:pPr>
        <w:sectPr>
          <w:type w:val="continuous"/>
          <w:pgSz w:w="12240" w:h="15840"/>
          <w:pgMar w:top="0" w:right="0" w:bottom="14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0" w:lineRule="exact" w:before="38" w:after="0"/>
        <w:ind w:left="566" w:right="144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Inside this Issue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4"/>
        </w:rPr>
        <w:t>Asian met coal market sees fresh trade at lower level; sellers await China’s return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2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Energy Transfer NGLs line catches fire near Houston, forcing evacuations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...........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2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New York gets funding to expand EV fast charging, increasing power demand amid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tighter supply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........................................................................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4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IAEA sees potential for global nuclear capacity more than doubling by 2050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........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5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Alberta July coal production holds mostly steady on month at 1.3 MMt: AER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........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6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Colombia seaborne coal exports remain flat on week at 1.1 MMt: CAS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................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7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SOUTH KOREA DATA: August coal imports fall 5.5% on year on decline from small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importers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............................................................................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8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Russia’s Rosatom says it could restart occupied Ukrainian nuclear plant</w:t>
      </w:r>
      <w:r>
        <w:rPr>
          <w:rFonts w:ascii="AkkuratLL" w:hAnsi="AkkuratLL" w:eastAsia="AkkuratLL"/>
          <w:b w:val="0"/>
          <w:i w:val="0"/>
          <w:color w:val="221F1F"/>
          <w:sz w:val="17"/>
        </w:rPr>
        <w:t>............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 8</w:t>
      </w:r>
    </w:p>
    <w:p>
      <w:pPr>
        <w:autoSpaceDN w:val="0"/>
        <w:autoSpaceDE w:val="0"/>
        <w:widowControl/>
        <w:spacing w:line="206" w:lineRule="exact" w:before="268" w:after="24"/>
        <w:ind w:left="566" w:right="216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Platts final monthly averages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 xml:space="preserve">(Aug) </w:t>
      </w:r>
      <w:r>
        <w:rPr>
          <w:rFonts w:ascii="AkkuratLL" w:hAnsi="AkkuratLL" w:eastAsia="AkkuratLL"/>
          <w:b w:val="0"/>
          <w:i w:val="0"/>
          <w:color w:val="221F1F"/>
          <w:sz w:val="13"/>
        </w:rPr>
        <w:t>Based on Platts daily physical OTC assessments ($/st)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4.0" w:type="dxa"/>
      </w:tblPr>
      <w:tblGrid>
        <w:gridCol w:w="2448"/>
        <w:gridCol w:w="2448"/>
        <w:gridCol w:w="2448"/>
        <w:gridCol w:w="2448"/>
        <w:gridCol w:w="2448"/>
      </w:tblGrid>
      <w:tr>
        <w:trPr>
          <w:trHeight w:hRule="exact" w:val="244"/>
        </w:trPr>
        <w:tc>
          <w:tcPr>
            <w:tcW w:type="dxa" w:w="1756"/>
            <w:vMerge w:val="restart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CAPP rail (CSX) OTC </w:t>
            </w:r>
          </w:p>
        </w:tc>
        <w:tc>
          <w:tcPr>
            <w:tcW w:type="dxa" w:w="1100"/>
            <w:vMerge w:val="restart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6" w:after="0"/>
              <w:ind w:left="0" w:right="102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CAKOM01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3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Aug-24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Jul-24 </w:t>
            </w:r>
          </w:p>
        </w:tc>
        <w:tc>
          <w:tcPr>
            <w:tcW w:type="dxa" w:w="9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9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Change</w:t>
            </w:r>
          </w:p>
        </w:tc>
      </w:tr>
      <w:tr>
        <w:trPr>
          <w:trHeight w:hRule="exact" w:val="250"/>
        </w:trPr>
        <w:tc>
          <w:tcPr>
            <w:tcW w:type="dxa" w:w="2448"/>
            <w:vMerge/>
            <w:tcBorders>
              <w:bottom w:sz="2.0" w:val="single" w:color="#D1D2D4"/>
            </w:tcBorders>
          </w:tcPr>
          <w:p/>
        </w:tc>
        <w:tc>
          <w:tcPr>
            <w:tcW w:type="dxa" w:w="2448"/>
            <w:vMerge/>
            <w:tcBorders>
              <w:bottom w:sz="2.0" w:val="single" w:color="#D1D2D4"/>
            </w:tcBorders>
          </w:tcPr>
          <w:p/>
        </w:tc>
        <w:tc>
          <w:tcPr>
            <w:tcW w:type="dxa" w:w="8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73.52 </w:t>
            </w:r>
          </w:p>
        </w:tc>
        <w:tc>
          <w:tcPr>
            <w:tcW w:type="dxa" w:w="8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72.68 </w:t>
            </w:r>
          </w:p>
        </w:tc>
        <w:tc>
          <w:tcPr>
            <w:tcW w:type="dxa" w:w="93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+0.84</w:t>
            </w:r>
          </w:p>
        </w:tc>
      </w:tr>
      <w:tr>
        <w:trPr>
          <w:trHeight w:hRule="exact" w:val="238"/>
        </w:trPr>
        <w:tc>
          <w:tcPr>
            <w:tcW w:type="dxa" w:w="175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8,800 OTC </w:t>
            </w:r>
          </w:p>
        </w:tc>
        <w:tc>
          <w:tcPr>
            <w:tcW w:type="dxa" w:w="11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108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CTAOM01</w:t>
            </w:r>
          </w:p>
        </w:tc>
        <w:tc>
          <w:tcPr>
            <w:tcW w:type="dxa" w:w="8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13.81 </w:t>
            </w:r>
          </w:p>
        </w:tc>
        <w:tc>
          <w:tcPr>
            <w:tcW w:type="dxa" w:w="8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13.80 </w:t>
            </w:r>
          </w:p>
        </w:tc>
        <w:tc>
          <w:tcPr>
            <w:tcW w:type="dxa" w:w="93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140" w:left="0" w:header="720" w:footer="720" w:gutter="0"/>
          <w:cols w:num="2" w:equalWidth="0">
            <w:col w:w="6096" w:space="0"/>
            <w:col w:w="614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3060"/>
        <w:gridCol w:w="3060"/>
        <w:gridCol w:w="3060"/>
        <w:gridCol w:w="3060"/>
      </w:tblGrid>
      <w:tr>
        <w:trPr>
          <w:trHeight w:hRule="exact" w:val="192"/>
        </w:trPr>
        <w:tc>
          <w:tcPr>
            <w:tcW w:type="dxa" w:w="12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Prompt price 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3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Symbol 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7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$/MMBtu </w:t>
            </w:r>
          </w:p>
        </w:tc>
        <w:tc>
          <w:tcPr>
            <w:tcW w:type="dxa" w:w="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Change</w:t>
            </w:r>
          </w:p>
        </w:tc>
      </w:tr>
      <w:tr>
        <w:trPr>
          <w:trHeight w:hRule="exact" w:val="210"/>
        </w:trPr>
        <w:tc>
          <w:tcPr>
            <w:tcW w:type="dxa" w:w="128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Henry Hub </w:t>
            </w:r>
          </w:p>
        </w:tc>
        <w:tc>
          <w:tcPr>
            <w:tcW w:type="dxa" w:w="17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432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NMNG001</w:t>
            </w:r>
          </w:p>
        </w:tc>
        <w:tc>
          <w:tcPr>
            <w:tcW w:type="dxa" w:w="15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0" w:right="7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2.373 </w:t>
            </w:r>
          </w:p>
        </w:tc>
        <w:tc>
          <w:tcPr>
            <w:tcW w:type="dxa" w:w="74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+0.068</w:t>
            </w:r>
          </w:p>
        </w:tc>
      </w:tr>
    </w:tbl>
    <w:p>
      <w:pPr>
        <w:autoSpaceDN w:val="0"/>
        <w:autoSpaceDE w:val="0"/>
        <w:widowControl/>
        <w:spacing w:line="240" w:lineRule="auto" w:before="410" w:after="0"/>
        <w:ind w:left="1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2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65500" cy="2070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07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8"/>
        <w:sectPr>
          <w:type w:val="nextColumn"/>
          <w:pgSz w:w="12240" w:h="15840"/>
          <w:pgMar w:top="0" w:right="0" w:bottom="140" w:left="0" w:header="720" w:footer="720" w:gutter="0"/>
          <w:cols w:num="2" w:equalWidth="0">
            <w:col w:w="6096" w:space="0"/>
            <w:col w:w="6144" w:space="0"/>
          </w:cols>
          <w:docGrid w:linePitch="360"/>
        </w:sectPr>
      </w:pPr>
    </w:p>
    <w:p>
      <w:pPr>
        <w:autoSpaceDN w:val="0"/>
        <w:tabs>
          <w:tab w:pos="2834" w:val="left"/>
          <w:tab w:pos="3612" w:val="left"/>
          <w:tab w:pos="4462" w:val="left"/>
          <w:tab w:pos="5298" w:val="left"/>
        </w:tabs>
        <w:autoSpaceDE w:val="0"/>
        <w:widowControl/>
        <w:spacing w:line="166" w:lineRule="exact" w:before="0" w:after="0"/>
        <w:ind w:left="566" w:right="0" w:firstLine="0"/>
        <w:jc w:val="left"/>
      </w:pPr>
      <w:r>
        <w:rPr>
          <w:rFonts w:ascii="AkkuratPro" w:hAnsi="AkkuratPro" w:eastAsia="AkkuratPro"/>
          <w:b w:val="0"/>
          <w:i w:val="0"/>
          <w:color w:val="221F1F"/>
          <w:sz w:val="14"/>
        </w:rPr>
        <w:t xml:space="preserve">PRB 8,400 OTC </w:t>
      </w:r>
      <w:r>
        <w:rPr>
          <w:rFonts w:ascii="AkkuratMonoLLTT" w:hAnsi="AkkuratMonoLLTT" w:eastAsia="AkkuratMonoLLTT"/>
          <w:b w:val="0"/>
          <w:i w:val="0"/>
          <w:color w:val="221F1F"/>
          <w:sz w:val="11"/>
        </w:rPr>
        <w:t xml:space="preserve">CTBOM01 </w:t>
      </w:r>
      <w:r>
        <w:rPr>
          <w:rFonts w:ascii="AkkuratPro" w:hAnsi="AkkuratPro" w:eastAsia="AkkuratPro"/>
          <w:b w:val="0"/>
          <w:i w:val="0"/>
          <w:color w:val="221F1F"/>
          <w:sz w:val="14"/>
        </w:rPr>
        <w:t xml:space="preserve">11.36 </w:t>
      </w:r>
      <w:r>
        <w:rPr>
          <w:rFonts w:ascii="AkkuratPro" w:hAnsi="AkkuratPro" w:eastAsia="AkkuratPro"/>
          <w:b w:val="0"/>
          <w:i w:val="0"/>
          <w:color w:val="221F1F"/>
          <w:sz w:val="14"/>
        </w:rPr>
        <w:t xml:space="preserve">11.35 </w:t>
      </w:r>
      <w:r>
        <w:rPr>
          <w:rFonts w:ascii="AkkuratPro" w:hAnsi="AkkuratPro" w:eastAsia="AkkuratPro"/>
          <w:b w:val="0"/>
          <w:i w:val="0"/>
          <w:color w:val="157527"/>
          <w:sz w:val="14"/>
        </w:rPr>
        <w:t>+0.01</w:t>
      </w:r>
    </w:p>
    <w:p>
      <w:pPr>
        <w:autoSpaceDN w:val="0"/>
        <w:autoSpaceDE w:val="0"/>
        <w:widowControl/>
        <w:spacing w:line="240" w:lineRule="auto" w:before="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00" cy="101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240" w:val="left"/>
        </w:tabs>
        <w:autoSpaceDE w:val="0"/>
        <w:widowControl/>
        <w:spacing w:line="240" w:lineRule="auto" w:before="32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139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70000" cy="10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0"/>
        <w:sectPr>
          <w:type w:val="continuous"/>
          <w:pgSz w:w="12240" w:h="15840"/>
          <w:pgMar w:top="0" w:right="0" w:bottom="14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500" cy="165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0" w:after="0"/>
        <w:ind w:left="7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500" cy="800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0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0" w:after="0"/>
        <w:ind w:left="7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13100" cy="152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0" w:right="0" w:bottom="140" w:left="0" w:header="720" w:footer="720" w:gutter="0"/>
          <w:cols w:num="2" w:equalWidth="0">
            <w:col w:w="6140" w:space="0"/>
            <w:col w:w="61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500" cy="1651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24200" cy="228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500" cy="76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8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500" cy="63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24200" cy="190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8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25800" cy="152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0"/>
        <w:sectPr>
          <w:type w:val="nextColumn"/>
          <w:pgSz w:w="12240" w:h="15840"/>
          <w:pgMar w:top="0" w:right="0" w:bottom="140" w:left="0" w:header="720" w:footer="720" w:gutter="0"/>
          <w:cols w:num="2" w:equalWidth="0">
            <w:col w:w="6140" w:space="0"/>
            <w:col w:w="61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80"/>
        <w:gridCol w:w="4080"/>
        <w:gridCol w:w="4080"/>
      </w:tblGrid>
      <w:tr>
        <w:trPr>
          <w:trHeight w:hRule="exact" w:val="430"/>
        </w:trPr>
        <w:tc>
          <w:tcPr>
            <w:tcW w:type="dxa" w:w="4100"/>
            <w:tcBorders>
              <w:bottom w:sz="4.0" w:val="single" w:color="#F4F4F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85900" cy="889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tcBorders>
              <w:bottom w:sz="4.0" w:val="single" w:color="#F4F4F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0"/>
            <w:tcBorders>
              <w:bottom w:sz="4.0" w:val="single" w:color="#F4F4F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73200" cy="889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50"/>
        </w:trPr>
        <w:tc>
          <w:tcPr>
            <w:tcW w:type="dxa" w:w="4100"/>
            <w:tcBorders>
              <w:top w:sz="4.0" w:val="single" w:color="#F4F4F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86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8"/>
              </w:rPr>
              <w:t>www.spglobal.com/</w:t>
            </w:r>
            <w:r>
              <w:rPr>
                <w:rFonts w:ascii="AkkuratLL" w:hAnsi="AkkuratLL" w:eastAsia="AkkuratLL"/>
                <w:b w:val="0"/>
                <w:i w:val="0"/>
                <w:color w:val="D5002A"/>
                <w:sz w:val="18"/>
              </w:rPr>
              <w:t>commodityinsights</w:t>
            </w:r>
          </w:p>
        </w:tc>
        <w:tc>
          <w:tcPr>
            <w:tcW w:type="dxa" w:w="600"/>
            <w:tcBorders>
              <w:top w:sz="4.0" w:val="single" w:color="#F4F4F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4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77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0"/>
            <w:tcBorders>
              <w:top w:sz="4.0" w:val="single" w:color="#F4F4F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76" w:after="0"/>
              <w:ind w:left="2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8"/>
              </w:rPr>
              <w:t>www.twitter.com/SPGCIShipping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14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30"/>
        <w:gridCol w:w="1530"/>
        <w:gridCol w:w="1530"/>
        <w:gridCol w:w="1530"/>
        <w:gridCol w:w="1530"/>
        <w:gridCol w:w="1530"/>
        <w:gridCol w:w="1530"/>
        <w:gridCol w:w="153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4638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  <w:tc>
          <w:tcPr>
            <w:tcW w:type="dxa" w:w="312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874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/>
                <w:i w:val="0"/>
                <w:color w:val="221F1F"/>
                <w:sz w:val="20"/>
              </w:rPr>
              <w:t>US FOB coal assessments, Sep 16</w:t>
            </w:r>
          </w:p>
        </w:tc>
        <w:tc>
          <w:tcPr>
            <w:tcW w:type="dxa" w:w="760"/>
            <w:vMerge w:val="restart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vMerge w:val="restart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40"/>
            <w:vMerge w:val="restart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2"/>
        </w:trPr>
        <w:tc>
          <w:tcPr>
            <w:tcW w:type="dxa" w:w="6234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590"/>
            <w:gridSpan w:val="3"/>
            <w:vMerge/>
            <w:tcBorders/>
          </w:tcPr>
          <w:p/>
        </w:tc>
        <w:tc>
          <w:tcPr>
            <w:tcW w:type="dxa" w:w="1530"/>
            <w:vMerge/>
            <w:tcBorders>
              <w:bottom w:sz="4.0" w:val="single" w:color="#D1D2D4"/>
            </w:tcBorders>
          </w:tcPr>
          <w:p/>
        </w:tc>
        <w:tc>
          <w:tcPr>
            <w:tcW w:type="dxa" w:w="1530"/>
            <w:vMerge/>
            <w:tcBorders>
              <w:bottom w:sz="4.0" w:val="single" w:color="#D1D2D4"/>
            </w:tcBorders>
          </w:tcPr>
          <w:p/>
        </w:tc>
        <w:tc>
          <w:tcPr>
            <w:tcW w:type="dxa" w:w="1530"/>
            <w:vMerge/>
            <w:tcBorders>
              <w:bottom w:sz="4.0" w:val="single" w:color="#D1D2D4"/>
            </w:tcBorders>
          </w:tcPr>
          <w:p/>
        </w:tc>
      </w:tr>
      <w:tr>
        <w:trPr>
          <w:trHeight w:hRule="exact" w:val="730"/>
        </w:trPr>
        <w:tc>
          <w:tcPr>
            <w:tcW w:type="dxa" w:w="6234"/>
            <w:gridSpan w:val="2"/>
            <w:vMerge w:val="restart"/>
            <w:tcBorders>
              <w:top w:sz="4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70" w:after="0"/>
              <w:ind w:left="566" w:right="1296" w:firstLine="0"/>
              <w:jc w:val="left"/>
            </w:pPr>
            <w:r>
              <w:rPr>
                <w:rFonts w:ascii="AkkuratLL" w:hAnsi="AkkuratLL" w:eastAsia="AkkuratLL"/>
                <w:b/>
                <w:i w:val="0"/>
                <w:color w:val="221F1F"/>
                <w:sz w:val="22"/>
              </w:rPr>
              <w:t xml:space="preserve">Asian met coal market sees fresh trade </w:t>
            </w:r>
            <w:r>
              <w:rPr>
                <w:rFonts w:ascii="AkkuratLL" w:hAnsi="AkkuratLL" w:eastAsia="AkkuratLL"/>
                <w:b/>
                <w:i w:val="0"/>
                <w:color w:val="221F1F"/>
                <w:sz w:val="22"/>
              </w:rPr>
              <w:t>at lower level; sellers await China’s return</w:t>
            </w:r>
          </w:p>
        </w:tc>
        <w:tc>
          <w:tcPr>
            <w:tcW w:type="dxa" w:w="4590"/>
            <w:gridSpan w:val="3"/>
            <w:vMerge/>
            <w:tcBorders/>
          </w:tcPr>
          <w:p/>
        </w:tc>
        <w:tc>
          <w:tcPr>
            <w:tcW w:type="dxa" w:w="760"/>
            <w:vMerge w:val="restart"/>
            <w:tcBorders>
              <w:top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2" w:after="0"/>
              <w:ind w:left="10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Code </w:t>
            </w:r>
          </w:p>
        </w:tc>
        <w:tc>
          <w:tcPr>
            <w:tcW w:type="dxa" w:w="780"/>
            <w:vMerge w:val="restart"/>
            <w:tcBorders>
              <w:top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2" w:after="0"/>
              <w:ind w:left="0" w:right="18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$/mt </w:t>
            </w:r>
          </w:p>
        </w:tc>
        <w:tc>
          <w:tcPr>
            <w:tcW w:type="dxa" w:w="1340"/>
            <w:vMerge w:val="restart"/>
            <w:tcBorders>
              <w:top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2" w:after="0"/>
              <w:ind w:left="16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Change</w:t>
            </w:r>
          </w:p>
        </w:tc>
      </w:tr>
      <w:tr>
        <w:trPr>
          <w:trHeight w:hRule="exact" w:val="200"/>
        </w:trPr>
        <w:tc>
          <w:tcPr>
            <w:tcW w:type="dxa" w:w="3060"/>
            <w:gridSpan w:val="2"/>
            <w:vMerge/>
            <w:tcBorders>
              <w:top w:sz="4.0" w:val="single" w:color="#D1D2D4"/>
              <w:bottom w:sz="2.0" w:val="single" w:color="#D1D2D4"/>
            </w:tcBorders>
          </w:tcPr>
          <w:p/>
        </w:tc>
        <w:tc>
          <w:tcPr>
            <w:tcW w:type="dxa" w:w="220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118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Kcal/kg NAR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7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Sulfur </w:t>
            </w:r>
          </w:p>
        </w:tc>
        <w:tc>
          <w:tcPr>
            <w:tcW w:type="dxa" w:w="1530"/>
            <w:vMerge/>
            <w:tcBorders>
              <w:top w:sz="4.0" w:val="single" w:color="#D1D2D4"/>
            </w:tcBorders>
          </w:tcPr>
          <w:p/>
        </w:tc>
        <w:tc>
          <w:tcPr>
            <w:tcW w:type="dxa" w:w="1530"/>
            <w:vMerge/>
            <w:tcBorders>
              <w:top w:sz="4.0" w:val="single" w:color="#D1D2D4"/>
            </w:tcBorders>
          </w:tcPr>
          <w:p/>
        </w:tc>
        <w:tc>
          <w:tcPr>
            <w:tcW w:type="dxa" w:w="1530"/>
            <w:vMerge/>
            <w:tcBorders>
              <w:top w:sz="4.0" w:val="single" w:color="#D1D2D4"/>
            </w:tcBorders>
          </w:tcPr>
          <w:p/>
        </w:tc>
      </w:tr>
      <w:tr>
        <w:trPr>
          <w:trHeight w:hRule="exact" w:val="148"/>
        </w:trPr>
        <w:tc>
          <w:tcPr>
            <w:tcW w:type="dxa" w:w="3060"/>
            <w:gridSpan w:val="2"/>
            <w:vMerge/>
            <w:tcBorders>
              <w:top w:sz="4.0" w:val="single" w:color="#D1D2D4"/>
              <w:bottom w:sz="2.0" w:val="single" w:color="#D1D2D4"/>
            </w:tcBorders>
          </w:tcPr>
          <w:p/>
        </w:tc>
        <w:tc>
          <w:tcPr>
            <w:tcW w:type="dxa" w:w="120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FOB Baltimore </w:t>
            </w:r>
          </w:p>
        </w:tc>
        <w:tc>
          <w:tcPr>
            <w:tcW w:type="dxa" w:w="10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6900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4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3.00% </w:t>
            </w:r>
          </w:p>
        </w:tc>
        <w:tc>
          <w:tcPr>
            <w:tcW w:type="dxa" w:w="7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18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CUATB04</w:t>
            </w:r>
          </w:p>
        </w:tc>
        <w:tc>
          <w:tcPr>
            <w:tcW w:type="dxa" w:w="7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5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74.30 </w:t>
            </w:r>
          </w:p>
        </w:tc>
        <w:tc>
          <w:tcPr>
            <w:tcW w:type="dxa" w:w="13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7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+0.25</w:t>
            </w:r>
          </w:p>
        </w:tc>
      </w:tr>
    </w:tbl>
    <w:p>
      <w:pPr>
        <w:autoSpaceDN w:val="0"/>
        <w:autoSpaceDE w:val="0"/>
        <w:widowControl/>
        <w:spacing w:line="14" w:lineRule="exact" w:before="0" w:after="54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Oct-loading PLV sold at $180/mt FOB</w:t>
      </w:r>
    </w:p>
    <w:p>
      <w:pPr>
        <w:autoSpaceDN w:val="0"/>
        <w:autoSpaceDE w:val="0"/>
        <w:widowControl/>
        <w:spacing w:line="240" w:lineRule="exact" w:before="70" w:after="0"/>
        <w:ind w:left="822" w:right="864" w:firstLine="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Indian mill seek offers for 30,000-35,000 mt Sep/Oct-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loading PMV</w:t>
      </w:r>
    </w:p>
    <w:p>
      <w:pPr>
        <w:autoSpaceDN w:val="0"/>
        <w:autoSpaceDE w:val="0"/>
        <w:widowControl/>
        <w:spacing w:line="240" w:lineRule="exact" w:before="296" w:after="0"/>
        <w:ind w:left="568" w:right="432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Asian metallurgical coal prices were largely stable with 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prime coal cargo sold at a lower level Sept. 16, although most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sellers were on the sidelines awaiting China’s return after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Mid-Autumn Festival on Sept. 17.</w:t>
      </w:r>
    </w:p>
    <w:p>
      <w:pPr>
        <w:autoSpaceDN w:val="0"/>
        <w:autoSpaceDE w:val="0"/>
        <w:widowControl/>
        <w:spacing w:line="240" w:lineRule="exact" w:before="2" w:after="0"/>
        <w:ind w:left="568" w:right="432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 assessed Premium Low-Vol (PLV) Hard Coking Coal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$1/mt lower on the day at $180/mt FOB Australia Sept. 16; PLV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CFR China was assessed steady at $196/mt over the same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time period.</w:t>
      </w:r>
    </w:p>
    <w:p>
      <w:pPr>
        <w:autoSpaceDN w:val="0"/>
        <w:autoSpaceDE w:val="0"/>
        <w:widowControl/>
        <w:spacing w:line="240" w:lineRule="exact" w:before="2" w:after="0"/>
        <w:ind w:left="568" w:right="288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cargo was heard traded via globalCOAL at $180/mt FOB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Australia, Sept. 16, for 70,000 mt of PLV coal with Peak Downs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or BMA PLV in seller’s option, loading Oct. 10-19. The cargo was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understood to be resold by an international steelmaker to an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Asian trader.</w:t>
      </w:r>
    </w:p>
    <w:p>
      <w:pPr>
        <w:autoSpaceDN w:val="0"/>
        <w:autoSpaceDE w:val="0"/>
        <w:widowControl/>
        <w:spacing w:line="240" w:lineRule="exact" w:before="4" w:after="0"/>
        <w:ind w:left="568" w:right="432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An international steelmaker source said they believed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Australian prime coal market still has room for downward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correction given the reselling interest for Q4-loading cargoes,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on top of the position cargoes that traders are struggling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liquidate.</w:t>
      </w:r>
    </w:p>
    <w:p>
      <w:pPr>
        <w:autoSpaceDN w:val="0"/>
        <w:autoSpaceDE w:val="0"/>
        <w:widowControl/>
        <w:spacing w:line="240" w:lineRule="exact" w:before="4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Another international steelmaker source, meanwhile, said it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remains difficult to gauge market direction currently. “[It’s] purely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[a] function [of] how China behaves,” the source said.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4" w:after="0"/>
        <w:ind w:left="568" w:right="432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seller source said it was holding back offers as multiple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markets in Northeast Asia were away for holidays.</w:t>
      </w:r>
    </w:p>
    <w:p>
      <w:pPr>
        <w:autoSpaceDN w:val="0"/>
        <w:autoSpaceDE w:val="0"/>
        <w:widowControl/>
        <w:spacing w:line="240" w:lineRule="exact" w:before="2" w:after="0"/>
        <w:ind w:left="568" w:right="0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Despite expectations of a potential market rebound in China,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procurement of a full Panamax of forward-delivery cargo is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still considered a “big bet” for Chinese mills, which are prioritizing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cash flow management, the seller source said.</w:t>
      </w:r>
    </w:p>
    <w:p>
      <w:pPr>
        <w:autoSpaceDN w:val="0"/>
        <w:autoSpaceDE w:val="0"/>
        <w:widowControl/>
        <w:spacing w:line="240" w:lineRule="exact" w:before="2" w:after="0"/>
        <w:ind w:left="568" w:right="432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Pockets of demand were seen coming from India, where 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steelmaker is poised to collect offers by Sept.16 for 30,000-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35,000 mt of Australian premium mid-vol coal loading 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September/October.</w:t>
      </w:r>
    </w:p>
    <w:p>
      <w:pPr>
        <w:autoSpaceDN w:val="0"/>
        <w:autoSpaceDE w:val="0"/>
        <w:widowControl/>
        <w:spacing w:line="240" w:lineRule="exact" w:before="2" w:after="0"/>
        <w:ind w:left="568" w:right="288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Indian steel demand was still sluggish and such significant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volume demand for coking coal was not expected to arise from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the country in the near term, an Indian steelmaker said.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" w:after="0"/>
        <w:ind w:left="568" w:right="14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source with another India-based end-user said offers were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limited with sellers being inactive amid China’s absence.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" w:after="0"/>
        <w:ind w:left="568" w:right="432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market direction is still quite unclear, the source said,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adding even with China’s return, upside potential should be 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082" w:space="0"/>
            <w:col w:w="615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162"/>
        </w:trPr>
        <w:tc>
          <w:tcPr>
            <w:tcW w:type="dxa" w:w="128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FOB New Orleans </w:t>
            </w:r>
          </w:p>
        </w:tc>
        <w:tc>
          <w:tcPr>
            <w:tcW w:type="dxa" w:w="8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6000 </w:t>
            </w:r>
          </w:p>
        </w:tc>
        <w:tc>
          <w:tcPr>
            <w:tcW w:type="dxa" w:w="8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2.90% </w:t>
            </w:r>
          </w:p>
        </w:tc>
        <w:tc>
          <w:tcPr>
            <w:tcW w:type="dxa" w:w="9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CUAFA04</w:t>
            </w:r>
          </w:p>
        </w:tc>
        <w:tc>
          <w:tcPr>
            <w:tcW w:type="dxa" w:w="8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70.90 </w:t>
            </w:r>
          </w:p>
        </w:tc>
        <w:tc>
          <w:tcPr>
            <w:tcW w:type="dxa" w:w="68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+0.50</w:t>
            </w:r>
          </w:p>
        </w:tc>
      </w:tr>
    </w:tbl>
    <w:p>
      <w:pPr>
        <w:autoSpaceDN w:val="0"/>
        <w:autoSpaceDE w:val="0"/>
        <w:widowControl/>
        <w:spacing w:line="180" w:lineRule="exact" w:before="46" w:after="6"/>
        <w:ind w:left="154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Normalized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164"/>
        </w:trPr>
        <w:tc>
          <w:tcPr>
            <w:tcW w:type="dxa" w:w="120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FOB Baltimore </w:t>
            </w:r>
          </w:p>
        </w:tc>
        <w:tc>
          <w:tcPr>
            <w:tcW w:type="dxa" w:w="90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6000 </w:t>
            </w:r>
          </w:p>
        </w:tc>
        <w:tc>
          <w:tcPr>
            <w:tcW w:type="dxa" w:w="8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3.00% </w:t>
            </w:r>
          </w:p>
        </w:tc>
        <w:tc>
          <w:tcPr>
            <w:tcW w:type="dxa" w:w="9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CUADA04</w:t>
            </w:r>
          </w:p>
        </w:tc>
        <w:tc>
          <w:tcPr>
            <w:tcW w:type="dxa" w:w="8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64.60 </w:t>
            </w:r>
          </w:p>
        </w:tc>
        <w:tc>
          <w:tcPr>
            <w:tcW w:type="dxa" w:w="68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+0.20</w:t>
            </w:r>
          </w:p>
        </w:tc>
      </w:tr>
    </w:tbl>
    <w:p>
      <w:pPr>
        <w:autoSpaceDN w:val="0"/>
        <w:autoSpaceDE w:val="0"/>
        <w:widowControl/>
        <w:spacing w:line="176" w:lineRule="exact" w:before="48" w:after="0"/>
        <w:ind w:left="154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Loading 15-60 day basis.</w:t>
      </w:r>
    </w:p>
    <w:p>
      <w:pPr>
        <w:autoSpaceDN w:val="0"/>
        <w:autoSpaceDE w:val="0"/>
        <w:widowControl/>
        <w:spacing w:line="240" w:lineRule="exact" w:before="592" w:after="0"/>
        <w:ind w:left="154" w:right="72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limited as Chinese mills have yet to absorb the seaborne prime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coal volume at the Chinese ports.</w:t>
      </w:r>
    </w:p>
    <w:p>
      <w:pPr>
        <w:autoSpaceDN w:val="0"/>
        <w:tabs>
          <w:tab w:pos="410" w:val="left"/>
        </w:tabs>
        <w:autoSpaceDE w:val="0"/>
        <w:widowControl/>
        <w:spacing w:line="240" w:lineRule="exact" w:before="2" w:after="0"/>
        <w:ind w:left="154" w:right="86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PLV trade on the day caught the attention from some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China-based market participants.</w:t>
      </w:r>
    </w:p>
    <w:p>
      <w:pPr>
        <w:autoSpaceDN w:val="0"/>
        <w:autoSpaceDE w:val="0"/>
        <w:widowControl/>
        <w:spacing w:line="240" w:lineRule="exact" w:before="2" w:after="0"/>
        <w:ind w:left="154" w:right="72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Chinese steelmaker source, who followed the trade, said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net-forward level is deemed suitable for procurement as it is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only slightly above Yuan 1,600/mt on a DDP basis, which is more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competitive than domestic PLV.</w:t>
      </w:r>
    </w:p>
    <w:p>
      <w:pPr>
        <w:autoSpaceDN w:val="0"/>
        <w:tabs>
          <w:tab w:pos="410" w:val="left"/>
        </w:tabs>
        <w:autoSpaceDE w:val="0"/>
        <w:widowControl/>
        <w:spacing w:line="240" w:lineRule="exact" w:before="2" w:after="0"/>
        <w:ind w:left="154" w:right="86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source added they can only procure 10,000 mt should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they decide to buy.</w:t>
      </w:r>
    </w:p>
    <w:p>
      <w:pPr>
        <w:autoSpaceDN w:val="0"/>
        <w:autoSpaceDE w:val="0"/>
        <w:widowControl/>
        <w:spacing w:line="240" w:lineRule="exact" w:before="2" w:after="0"/>
        <w:ind w:left="154" w:right="72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“It’s still hard for Chinese mills to commit to a full Panamax,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and most would prefer to buy port stock in smaller quantities,” 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Chinese trader said.</w:t>
      </w:r>
    </w:p>
    <w:p>
      <w:pPr>
        <w:autoSpaceDN w:val="0"/>
        <w:tabs>
          <w:tab w:pos="410" w:val="left"/>
        </w:tabs>
        <w:autoSpaceDE w:val="0"/>
        <w:widowControl/>
        <w:spacing w:line="240" w:lineRule="exact" w:before="2" w:after="0"/>
        <w:ind w:left="154" w:right="720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the met coke segment, both the FOB China and CFR India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prices were unchanged on the day.</w:t>
      </w:r>
    </w:p>
    <w:p>
      <w:pPr>
        <w:autoSpaceDN w:val="0"/>
        <w:autoSpaceDE w:val="0"/>
        <w:widowControl/>
        <w:spacing w:line="240" w:lineRule="exact" w:before="4" w:after="0"/>
        <w:ind w:left="15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With respect to the pending price hike for China’s domestic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met coke, a local cokery source said the outcome would hinge on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the steel product price movement after the holiday.</w:t>
      </w:r>
    </w:p>
    <w:p>
      <w:pPr>
        <w:autoSpaceDN w:val="0"/>
        <w:autoSpaceDE w:val="0"/>
        <w:widowControl/>
        <w:spacing w:line="244" w:lineRule="exact" w:before="0" w:after="0"/>
        <w:ind w:left="41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Platts is part of S&amp;P Global Commodity Insights.</w:t>
      </w:r>
    </w:p>
    <w:p>
      <w:pPr>
        <w:autoSpaceDN w:val="0"/>
        <w:autoSpaceDE w:val="0"/>
        <w:widowControl/>
        <w:spacing w:line="244" w:lineRule="exact" w:before="0" w:after="0"/>
        <w:ind w:left="0" w:right="614" w:firstLine="0"/>
        <w:jc w:val="right"/>
      </w:pP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30" w:history="1">
          <w:r>
            <w:rPr>
              <w:rStyle w:val="Hyperlink"/>
            </w:rPr>
            <w:t>Staff</w:t>
          </w:r>
        </w:hyperlink>
      </w:r>
    </w:p>
    <w:p>
      <w:pPr>
        <w:autoSpaceDN w:val="0"/>
        <w:autoSpaceDE w:val="0"/>
        <w:widowControl/>
        <w:spacing w:line="336" w:lineRule="exact" w:before="380" w:after="0"/>
        <w:ind w:left="154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24"/>
          <w:u w:val="single"/>
        </w:rPr>
        <w:t>News</w:t>
      </w:r>
    </w:p>
    <w:p>
      <w:pPr>
        <w:autoSpaceDN w:val="0"/>
        <w:autoSpaceDE w:val="0"/>
        <w:widowControl/>
        <w:spacing w:line="240" w:lineRule="exact" w:before="256" w:after="0"/>
        <w:ind w:left="154" w:right="2016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Energy Transfer NGLs line catches </w:t>
      </w:r>
      <w:r>
        <w:rPr>
          <w:rFonts w:ascii="AkkuratLL" w:hAnsi="AkkuratLL" w:eastAsia="AkkuratLL"/>
          <w:b/>
          <w:i w:val="0"/>
          <w:color w:val="221F1F"/>
          <w:sz w:val="22"/>
        </w:rPr>
        <w:t>fire near Houston, forcing evacuations</w:t>
      </w:r>
    </w:p>
    <w:p>
      <w:pPr>
        <w:autoSpaceDN w:val="0"/>
        <w:autoSpaceDE w:val="0"/>
        <w:widowControl/>
        <w:spacing w:line="242" w:lineRule="exact" w:before="100" w:after="0"/>
        <w:ind w:left="41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20-inch pipeline carried Y-grade NGLs</w:t>
      </w:r>
    </w:p>
    <w:p>
      <w:pPr>
        <w:autoSpaceDN w:val="0"/>
        <w:autoSpaceDE w:val="0"/>
        <w:widowControl/>
        <w:spacing w:line="242" w:lineRule="exact" w:before="68" w:after="0"/>
        <w:ind w:left="41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Fire expected to burn into the night</w:t>
      </w:r>
    </w:p>
    <w:p>
      <w:pPr>
        <w:autoSpaceDN w:val="0"/>
        <w:autoSpaceDE w:val="0"/>
        <w:widowControl/>
        <w:spacing w:line="244" w:lineRule="exact" w:before="68" w:after="0"/>
        <w:ind w:left="41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Early reports of car in right of way before fire</w:t>
      </w:r>
    </w:p>
    <w:p>
      <w:pPr>
        <w:autoSpaceDN w:val="0"/>
        <w:autoSpaceDE w:val="0"/>
        <w:widowControl/>
        <w:spacing w:line="240" w:lineRule="exact" w:before="224" w:after="0"/>
        <w:ind w:left="15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Local authorities in Houston ordered evacuations and shelter-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in-place orders Sept. 16 after an Energy Transfer pipeline carrying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natural gas liquids caught fire.</w:t>
      </w:r>
    </w:p>
    <w:p>
      <w:pPr>
        <w:autoSpaceDN w:val="0"/>
        <w:autoSpaceDE w:val="0"/>
        <w:widowControl/>
        <w:spacing w:line="240" w:lineRule="exact" w:before="2" w:after="518"/>
        <w:ind w:left="15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city of La Porte said its fire department responded at 9:55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am CT to the fire, which occurred in the neighboring city of Deer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Park. Authorities expect the fire to continue to burn for hours, </w:t>
      </w: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082" w:space="0"/>
            <w:col w:w="615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64.0" w:type="dxa"/>
      </w:tblPr>
      <w:tblGrid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</w:tblGrid>
      <w:tr>
        <w:trPr>
          <w:trHeight w:hRule="exact" w:val="268"/>
        </w:trPr>
        <w:tc>
          <w:tcPr>
            <w:tcW w:type="dxa" w:w="475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/>
                <w:i w:val="0"/>
                <w:color w:val="221F1F"/>
                <w:sz w:val="20"/>
              </w:rPr>
              <w:t xml:space="preserve">Platts daily physical coal assessments, Sep 16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($/st)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2" w:after="0"/>
              <w:ind w:left="288" w:right="144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Oct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average 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2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Daily av.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change </w:t>
            </w:r>
          </w:p>
        </w:tc>
        <w:tc>
          <w:tcPr>
            <w:tcW w:type="dxa" w:w="1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2" w:after="0"/>
              <w:ind w:left="432" w:right="30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Q3 final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average </w:t>
            </w:r>
          </w:p>
        </w:tc>
        <w:tc>
          <w:tcPr>
            <w:tcW w:type="dxa" w:w="1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2" w:after="0"/>
              <w:ind w:left="288" w:right="144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Q4 daily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assessment </w:t>
            </w:r>
          </w:p>
        </w:tc>
        <w:tc>
          <w:tcPr>
            <w:tcW w:type="dxa" w:w="1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2" w:after="0"/>
              <w:ind w:left="432" w:right="144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Q4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average </w:t>
            </w:r>
          </w:p>
        </w:tc>
        <w:tc>
          <w:tcPr>
            <w:tcW w:type="dxa" w:w="6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2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Daily av.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change</w:t>
            </w:r>
          </w:p>
        </w:tc>
      </w:tr>
      <w:tr>
        <w:trPr>
          <w:trHeight w:hRule="exact" w:val="360"/>
        </w:trPr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52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Coal product specifications </w:t>
            </w:r>
          </w:p>
        </w:tc>
        <w:tc>
          <w:tcPr>
            <w:tcW w:type="dxa" w:w="1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288" w:right="144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Sep final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monthly av. </w:t>
            </w:r>
          </w:p>
        </w:tc>
        <w:tc>
          <w:tcPr>
            <w:tcW w:type="dxa" w:w="1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288" w:right="144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Oct daily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assessment </w:t>
            </w:r>
          </w:p>
        </w:tc>
        <w:tc>
          <w:tcPr>
            <w:tcW w:type="dxa" w:w="1632"/>
            <w:gridSpan w:val="2"/>
            <w:vMerge/>
            <w:tcBorders/>
          </w:tcPr>
          <w:p/>
        </w:tc>
        <w:tc>
          <w:tcPr>
            <w:tcW w:type="dxa" w:w="816"/>
            <w:vMerge/>
            <w:tcBorders/>
          </w:tcPr>
          <w:p/>
        </w:tc>
        <w:tc>
          <w:tcPr>
            <w:tcW w:type="dxa" w:w="1632"/>
            <w:gridSpan w:val="2"/>
            <w:vMerge/>
            <w:tcBorders/>
          </w:tcPr>
          <w:p/>
        </w:tc>
        <w:tc>
          <w:tcPr>
            <w:tcW w:type="dxa" w:w="1632"/>
            <w:gridSpan w:val="2"/>
            <w:vMerge/>
            <w:tcBorders/>
          </w:tcPr>
          <w:p/>
        </w:tc>
        <w:tc>
          <w:tcPr>
            <w:tcW w:type="dxa" w:w="1632"/>
            <w:gridSpan w:val="2"/>
            <w:vMerge/>
            <w:tcBorders/>
          </w:tcPr>
          <w:p/>
        </w:tc>
        <w:tc>
          <w:tcPr>
            <w:tcW w:type="dxa" w:w="816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217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4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CAPP rail (CSX) (12,500 Btu/lb) OTC </w:t>
            </w:r>
          </w:p>
        </w:tc>
        <w:tc>
          <w:tcPr>
            <w:tcW w:type="dxa" w:w="5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94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CTJBM01</w:t>
            </w:r>
          </w:p>
        </w:tc>
        <w:tc>
          <w:tcPr>
            <w:tcW w:type="dxa" w:w="6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74.34 </w:t>
            </w:r>
          </w:p>
        </w:tc>
        <w:tc>
          <w:tcPr>
            <w:tcW w:type="dxa" w:w="6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13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CTJM001</w:t>
            </w:r>
          </w:p>
        </w:tc>
        <w:tc>
          <w:tcPr>
            <w:tcW w:type="dxa" w:w="7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73.50 </w:t>
            </w:r>
          </w:p>
        </w:tc>
        <w:tc>
          <w:tcPr>
            <w:tcW w:type="dxa" w:w="6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CTNAO03</w:t>
            </w:r>
          </w:p>
        </w:tc>
        <w:tc>
          <w:tcPr>
            <w:tcW w:type="dxa" w:w="5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74.17 </w:t>
            </w:r>
          </w:p>
        </w:tc>
        <w:tc>
          <w:tcPr>
            <w:tcW w:type="dxa" w:w="7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15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3"/>
              </w:rPr>
              <w:t>-0.04</w:t>
            </w:r>
          </w:p>
        </w:tc>
        <w:tc>
          <w:tcPr>
            <w:tcW w:type="dxa" w:w="6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15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CTJBQ01</w:t>
            </w:r>
          </w:p>
        </w:tc>
        <w:tc>
          <w:tcPr>
            <w:tcW w:type="dxa" w:w="6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11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71.89 </w:t>
            </w:r>
          </w:p>
        </w:tc>
        <w:tc>
          <w:tcPr>
            <w:tcW w:type="dxa" w:w="6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146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CTJQ001</w:t>
            </w:r>
          </w:p>
        </w:tc>
        <w:tc>
          <w:tcPr>
            <w:tcW w:type="dxa" w:w="6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73.50 </w:t>
            </w:r>
          </w:p>
        </w:tc>
        <w:tc>
          <w:tcPr>
            <w:tcW w:type="dxa" w:w="6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142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CTNAO05</w:t>
            </w:r>
          </w:p>
        </w:tc>
        <w:tc>
          <w:tcPr>
            <w:tcW w:type="dxa" w:w="6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5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74.17 </w:t>
            </w:r>
          </w:p>
        </w:tc>
        <w:tc>
          <w:tcPr>
            <w:tcW w:type="dxa" w:w="62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3"/>
              </w:rPr>
              <w:t>-0.04</w:t>
            </w:r>
          </w:p>
        </w:tc>
      </w:tr>
      <w:tr>
        <w:trPr>
          <w:trHeight w:hRule="exact" w:val="220"/>
        </w:trPr>
        <w:tc>
          <w:tcPr>
            <w:tcW w:type="dxa" w:w="217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PRB 8,800 Btu/lb OTC </w:t>
            </w:r>
          </w:p>
        </w:tc>
        <w:tc>
          <w:tcPr>
            <w:tcW w:type="dxa" w:w="5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94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CTKBM01</w:t>
            </w:r>
          </w:p>
        </w:tc>
        <w:tc>
          <w:tcPr>
            <w:tcW w:type="dxa" w:w="6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13.93 </w:t>
            </w:r>
          </w:p>
        </w:tc>
        <w:tc>
          <w:tcPr>
            <w:tcW w:type="dxa" w:w="6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3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CTKM001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13.95 </w:t>
            </w:r>
          </w:p>
        </w:tc>
        <w:tc>
          <w:tcPr>
            <w:tcW w:type="dxa" w:w="6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CTNAP03</w:t>
            </w:r>
          </w:p>
        </w:tc>
        <w:tc>
          <w:tcPr>
            <w:tcW w:type="dxa" w:w="5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13.95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3"/>
              </w:rPr>
              <w:t>0.00</w:t>
            </w:r>
          </w:p>
        </w:tc>
        <w:tc>
          <w:tcPr>
            <w:tcW w:type="dxa" w:w="6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5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CTKBQ01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11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13.70 </w:t>
            </w:r>
          </w:p>
        </w:tc>
        <w:tc>
          <w:tcPr>
            <w:tcW w:type="dxa" w:w="6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46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CTKQ001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13.95 </w:t>
            </w:r>
          </w:p>
        </w:tc>
        <w:tc>
          <w:tcPr>
            <w:tcW w:type="dxa" w:w="6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42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CTNAP05</w:t>
            </w:r>
          </w:p>
        </w:tc>
        <w:tc>
          <w:tcPr>
            <w:tcW w:type="dxa" w:w="6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8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13.95</w:t>
            </w:r>
          </w:p>
        </w:tc>
        <w:tc>
          <w:tcPr>
            <w:tcW w:type="dxa" w:w="6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14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3"/>
              </w:rPr>
              <w:t>0.00</w:t>
            </w:r>
          </w:p>
        </w:tc>
      </w:tr>
      <w:tr>
        <w:trPr>
          <w:trHeight w:hRule="exact" w:val="220"/>
        </w:trPr>
        <w:tc>
          <w:tcPr>
            <w:tcW w:type="dxa" w:w="217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PRB 8,400 Btu/lb OTC </w:t>
            </w:r>
          </w:p>
        </w:tc>
        <w:tc>
          <w:tcPr>
            <w:tcW w:type="dxa" w:w="5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94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CTLBM01</w:t>
            </w:r>
          </w:p>
        </w:tc>
        <w:tc>
          <w:tcPr>
            <w:tcW w:type="dxa" w:w="6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11.40 </w:t>
            </w:r>
          </w:p>
        </w:tc>
        <w:tc>
          <w:tcPr>
            <w:tcW w:type="dxa" w:w="6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3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CTLM001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11.40 </w:t>
            </w:r>
          </w:p>
        </w:tc>
        <w:tc>
          <w:tcPr>
            <w:tcW w:type="dxa" w:w="6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CTNAR03</w:t>
            </w:r>
          </w:p>
        </w:tc>
        <w:tc>
          <w:tcPr>
            <w:tcW w:type="dxa" w:w="5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11.40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3"/>
              </w:rPr>
              <w:t>0.00</w:t>
            </w:r>
          </w:p>
        </w:tc>
        <w:tc>
          <w:tcPr>
            <w:tcW w:type="dxa" w:w="62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5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CTLBQ01</w:t>
            </w:r>
          </w:p>
        </w:tc>
        <w:tc>
          <w:tcPr>
            <w:tcW w:type="dxa" w:w="66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11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11.26 </w:t>
            </w:r>
          </w:p>
        </w:tc>
        <w:tc>
          <w:tcPr>
            <w:tcW w:type="dxa" w:w="62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46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CTLQ001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11.40 </w:t>
            </w:r>
          </w:p>
        </w:tc>
        <w:tc>
          <w:tcPr>
            <w:tcW w:type="dxa" w:w="62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42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CTNAR05</w:t>
            </w:r>
          </w:p>
        </w:tc>
        <w:tc>
          <w:tcPr>
            <w:tcW w:type="dxa" w:w="60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8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11.40</w:t>
            </w:r>
          </w:p>
        </w:tc>
        <w:tc>
          <w:tcPr>
            <w:tcW w:type="dxa" w:w="6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8" w:after="0"/>
              <w:ind w:left="0" w:right="14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3"/>
              </w:rPr>
              <w:t>0.00</w:t>
            </w:r>
          </w:p>
        </w:tc>
      </w:tr>
    </w:tbl>
    <w:p>
      <w:pPr>
        <w:autoSpaceDN w:val="0"/>
        <w:autoSpaceDE w:val="0"/>
        <w:widowControl/>
        <w:spacing w:line="176" w:lineRule="exact" w:before="32" w:after="744"/>
        <w:ind w:left="56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Note: The daily prompt month price is identical to the Daily Physical OTC assessments table on Page 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430"/>
        </w:trPr>
        <w:tc>
          <w:tcPr>
            <w:tcW w:type="dxa" w:w="3666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8574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27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10644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</w:tr>
      <w:tr>
        <w:trPr>
          <w:trHeight w:hRule="exact" w:val="122"/>
        </w:trPr>
        <w:tc>
          <w:tcPr>
            <w:tcW w:type="dxa" w:w="12240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556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2" w:after="0"/>
        <w:ind w:left="566" w:right="288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Deer Park Mayor Jerry Mouton said during a press conference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Sept. 16.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" w:after="0"/>
        <w:ind w:left="566" w:right="14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“All of the product has to burn off,” Mouton said. First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responders contained the fire, but it could burn “if not into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tonight then tomorrow.”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Energy Transfer confirmed the fire occurred on a 20-inch line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carrying Y-grade NGLs, saying that no injuries were reported.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Local authorities later said one firefighter was treated for minor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injuries.</w:t>
      </w:r>
    </w:p>
    <w:p>
      <w:pPr>
        <w:autoSpaceDN w:val="0"/>
        <w:autoSpaceDE w:val="0"/>
        <w:widowControl/>
        <w:spacing w:line="240" w:lineRule="exact" w:before="2" w:after="0"/>
        <w:ind w:left="566" w:right="28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Y-grade NGLs include ethane, propane, butane and natural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gasolines, according to Energy Transfer product specifications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and prices spiked as a result.</w:t>
      </w:r>
    </w:p>
    <w:p>
      <w:pPr>
        <w:autoSpaceDN w:val="0"/>
        <w:autoSpaceDE w:val="0"/>
        <w:widowControl/>
        <w:spacing w:line="240" w:lineRule="exact" w:before="2" w:after="0"/>
        <w:ind w:left="566" w:right="432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 propane values rose to 67.50 cents/gal, up Y on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day and the highest since Sept. 5, according to S&amp;P Global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Commodity Insights.</w:t>
      </w:r>
    </w:p>
    <w:p>
      <w:pPr>
        <w:autoSpaceDN w:val="0"/>
        <w:autoSpaceDE w:val="0"/>
        <w:widowControl/>
        <w:spacing w:line="240" w:lineRule="exact" w:before="4" w:after="0"/>
        <w:ind w:left="566" w:right="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position for propane entered the Platts Market on Close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assessment process for the first time in a week, and traded at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67.50 cents/gal, 4.75 cents/gal higher than the previous close.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price was last reported higher on Sept. 5 at 69.75 cents/gal.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4" w:after="0"/>
        <w:ind w:left="566" w:right="14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“The line has been isolated so that the residual product 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line can safely burn itself out,” Energy Transfer spokesperson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Cassidy Lamb said in a statement. “We have no timeline at this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point on how long that process will take, but we are working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closely with local authorities.”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pipeline operator also said it was “aware of early reports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indicating that an unknown passenger car entered our right of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way and struck the [valve] location.”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Mouton acknowledged the presence of a vehicle near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burning pipeline but declined to speculate whether it caused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the fire.</w:t>
      </w:r>
    </w:p>
    <w:p>
      <w:pPr>
        <w:autoSpaceDN w:val="0"/>
        <w:tabs>
          <w:tab w:pos="822" w:val="left"/>
          <w:tab w:pos="3364" w:val="left"/>
        </w:tabs>
        <w:autoSpaceDE w:val="0"/>
        <w:widowControl/>
        <w:spacing w:line="240" w:lineRule="exact" w:before="2" w:after="0"/>
        <w:ind w:left="566" w:right="0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Railroad Commission of Texas announced that its pipeline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safety inspectors are also investigating the fire alongside local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authorities. The regulator said the fire occurred within a pipeline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corridor and that it is “notifying other pipeline operators in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corridor of the incident and getting information on measures they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are taking to ensure safety of their systems.”</w:t>
      </w:r>
      <w:r>
        <w:br/>
      </w:r>
      <w:r>
        <w:tab/>
      </w: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31" w:history="1">
          <w:r>
            <w:rPr>
              <w:rStyle w:val="Hyperlink"/>
            </w:rPr>
            <w:t>Jeremy Beaman</w:t>
          </w:r>
        </w:hyperlink>
      </w:r>
      <w:r>
        <w:rPr>
          <w:rFonts w:ascii="AkkuratLL" w:hAnsi="AkkuratLL" w:eastAsia="AkkuratLL"/>
          <w:b w:val="0"/>
          <w:i/>
          <w:color w:val="221F1F"/>
          <w:sz w:val="18"/>
        </w:rPr>
        <w:t xml:space="preserve">,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32" w:history="1">
          <w:r>
            <w:rPr>
              <w:rStyle w:val="Hyperlink"/>
            </w:rPr>
            <w:t>Binish Azhar</w:t>
          </w:r>
        </w:hyperlink>
      </w:r>
    </w:p>
    <w:p>
      <w:pPr>
        <w:autoSpaceDN w:val="0"/>
        <w:autoSpaceDE w:val="0"/>
        <w:widowControl/>
        <w:spacing w:line="240" w:lineRule="auto" w:before="768" w:after="0"/>
        <w:ind w:left="5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11400" cy="139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36900" cy="177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7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36900" cy="1206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0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00" w:after="0"/>
        <w:ind w:left="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36900" cy="76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12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08300" cy="88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110" w:space="0"/>
            <w:col w:w="6130" w:space="0"/>
          </w:cols>
          <w:docGrid w:linePitch="360"/>
        </w:sectPr>
      </w:pPr>
    </w:p>
    <w:p>
      <w:pPr>
        <w:autoSpaceDN w:val="0"/>
        <w:autoSpaceDE w:val="0"/>
        <w:widowControl/>
        <w:spacing w:line="284" w:lineRule="exact" w:before="0" w:after="42"/>
        <w:ind w:left="126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>NYMEX Henry Hub gas futures contract, Sep 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226"/>
        </w:trPr>
        <w:tc>
          <w:tcPr>
            <w:tcW w:type="dxa" w:w="666"/>
            <w:vMerge w:val="restart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7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Oct 2024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9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Settlement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16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High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118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Low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168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+/- </w:t>
            </w:r>
          </w:p>
        </w:tc>
        <w:tc>
          <w:tcPr>
            <w:tcW w:type="dxa" w:w="15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20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Volume</w:t>
            </w:r>
          </w:p>
        </w:tc>
      </w:tr>
      <w:tr>
        <w:trPr>
          <w:trHeight w:hRule="exact" w:val="216"/>
        </w:trPr>
        <w:tc>
          <w:tcPr>
            <w:tcW w:type="dxa" w:w="2040"/>
            <w:vMerge/>
            <w:tcBorders>
              <w:bottom w:sz="2.0" w:val="single" w:color="#D1D2D4"/>
            </w:tcBorders>
          </w:tcPr>
          <w:p/>
        </w:tc>
        <w:tc>
          <w:tcPr>
            <w:tcW w:type="dxa" w:w="10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4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2.373 </w:t>
            </w:r>
          </w:p>
        </w:tc>
        <w:tc>
          <w:tcPr>
            <w:tcW w:type="dxa" w:w="7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4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2.397 </w:t>
            </w:r>
          </w:p>
        </w:tc>
        <w:tc>
          <w:tcPr>
            <w:tcW w:type="dxa" w:w="6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4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2.265</w:t>
            </w:r>
          </w:p>
        </w:tc>
        <w:tc>
          <w:tcPr>
            <w:tcW w:type="dxa" w:w="7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4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+0.068</w:t>
            </w:r>
          </w:p>
        </w:tc>
        <w:tc>
          <w:tcPr>
            <w:tcW w:type="dxa" w:w="150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44" w:after="0"/>
              <w:ind w:left="28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62791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Nov 2024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2.639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2.656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2.547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+0.050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28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22702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Dec 2024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3.067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3.075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2.986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+0.042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3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6128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Jan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3.339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3.345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3.261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+0.038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3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5333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Feb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3.211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3.218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3.137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+0.033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3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2114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Mar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2.916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2.924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2.853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+0.028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3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1467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Apr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2.792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2.801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2.734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+0.025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3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1580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May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2.831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2.839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2.775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+0.021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6" w:after="0"/>
              <w:ind w:left="3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1197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Jun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2.968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2.976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2.919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+0.015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452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Jul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3.124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3.134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3.078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+0.012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900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Aug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3.157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3.166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3.115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+0.007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361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Sep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3.136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3.145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3.095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+0.005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467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Oct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3.222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3.231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3.177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+0.006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3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1026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Nov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3.491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3.496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3.443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+0.011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138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Dec 2025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3.881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3.885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3.828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+0.018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229</w:t>
            </w:r>
          </w:p>
        </w:tc>
      </w:tr>
      <w:tr>
        <w:trPr>
          <w:trHeight w:hRule="exact" w:val="212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Jan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4.096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4.098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4.053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+0.009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234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Feb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3.882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3.884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3.843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+0.007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109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Mar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3.406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3.410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3.372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+0.011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83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Apr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3.105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3.114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3.075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+0.015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104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May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3.131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3.133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3.104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+0.014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59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Jun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3.259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3.264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3.235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+0.011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22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Jul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3.398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3.399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3.381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+0.007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28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Aug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3.434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3.444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3.417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+0.006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Sep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3.408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3.416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3.388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+0.006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Oct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3.471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3.481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3.456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+0.006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8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Nov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3.733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3.733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3.733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+0.008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Dec 2026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4.107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4.111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4.107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+0.011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52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Jan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4.321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4.335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4.321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3"/>
              </w:rPr>
              <w:t>-0.004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6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Feb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4.090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4.093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4.090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3"/>
              </w:rPr>
              <w:t>-0.003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Mar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3.502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3.529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3.502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3"/>
              </w:rPr>
              <w:t>-0.002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27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Apr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3.070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3.070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3.068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+0.016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May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3.088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3.088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3.088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+0.018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Jun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3.225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3.225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3.225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+0.020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Jul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3.369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3.369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3.369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+0.022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Aug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3.415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3.529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3.502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+0.024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0</w:t>
            </w:r>
          </w:p>
        </w:tc>
      </w:tr>
      <w:tr>
        <w:trPr>
          <w:trHeight w:hRule="exact" w:val="210"/>
        </w:trPr>
        <w:tc>
          <w:tcPr>
            <w:tcW w:type="dxa" w:w="6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Sep 2027 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23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3.384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 xml:space="preserve">3.384 </w:t>
            </w:r>
          </w:p>
        </w:tc>
        <w:tc>
          <w:tcPr>
            <w:tcW w:type="dxa" w:w="6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3.368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3"/>
              </w:rPr>
              <w:t>+0.026</w:t>
            </w:r>
          </w:p>
        </w:tc>
        <w:tc>
          <w:tcPr>
            <w:tcW w:type="dxa" w:w="15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32" w:after="0"/>
              <w:ind w:left="0" w:right="8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3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40" w:lineRule="auto" w:before="512" w:after="0"/>
        <w:ind w:left="1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47900" cy="1397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90900" cy="25019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0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110" w:space="0"/>
            <w:col w:w="61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80"/>
        <w:gridCol w:w="4080"/>
        <w:gridCol w:w="4080"/>
      </w:tblGrid>
      <w:tr>
        <w:trPr>
          <w:trHeight w:hRule="exact" w:val="670"/>
        </w:trPr>
        <w:tc>
          <w:tcPr>
            <w:tcW w:type="dxa" w:w="3666"/>
            <w:tcBorders>
              <w:end w:sz="4.0" w:val="single" w:color="#D1D2D4"/>
              <w:bottom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85900" cy="889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74"/>
            <w:tcBorders>
              <w:start w:sz="4.0" w:val="single" w:color="#D1D2D4"/>
              <w:bottom w:sz="4.0" w:val="single" w:color="#D1D2D4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0"/>
            <w:tcBorders>
              <w:bottom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73200" cy="889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30"/>
        </w:trPr>
        <w:tc>
          <w:tcPr>
            <w:tcW w:type="dxa" w:w="3666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1474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27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3</w:t>
            </w:r>
          </w:p>
        </w:tc>
        <w:tc>
          <w:tcPr>
            <w:tcW w:type="dxa" w:w="7100"/>
            <w:tcBorders>
              <w:top w:sz="4.0" w:val="single" w:color="#D1D2D4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10644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</w:tr>
      <w:tr>
        <w:trPr>
          <w:trHeight w:hRule="exact" w:val="122"/>
        </w:trPr>
        <w:tc>
          <w:tcPr>
            <w:tcW w:type="dxa" w:w="12240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498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72" w:after="0"/>
        <w:ind w:left="566" w:right="288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New York gets funding to expand EV fast charging, </w:t>
      </w:r>
      <w:r>
        <w:rPr>
          <w:rFonts w:ascii="AkkuratLL" w:hAnsi="AkkuratLL" w:eastAsia="AkkuratLL"/>
          <w:b/>
          <w:i w:val="0"/>
          <w:color w:val="221F1F"/>
          <w:sz w:val="22"/>
        </w:rPr>
        <w:t>increasing power demand amid tighter supply</w:t>
      </w:r>
    </w:p>
    <w:p>
      <w:pPr>
        <w:autoSpaceDN w:val="0"/>
        <w:autoSpaceDE w:val="0"/>
        <w:widowControl/>
        <w:spacing w:line="242" w:lineRule="exact" w:before="100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$21 million available for DC fast chargers</w:t>
      </w:r>
    </w:p>
    <w:p>
      <w:pPr>
        <w:autoSpaceDN w:val="0"/>
        <w:autoSpaceDE w:val="0"/>
        <w:widowControl/>
        <w:spacing w:line="242" w:lineRule="exact" w:before="68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Preliminary NYISO study shows power market tightening</w:t>
      </w:r>
    </w:p>
    <w:p>
      <w:pPr>
        <w:autoSpaceDN w:val="0"/>
        <w:autoSpaceDE w:val="0"/>
        <w:widowControl/>
        <w:spacing w:line="240" w:lineRule="exact" w:before="296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New York makes $21 million available to install electric vehicle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fast chargers along major corridors across the state with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sites required to have no less than 150 kW of capacity which will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increase power demand, along with additional electrification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efforts and the construction of several large load projects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>including data centers.</w:t>
      </w:r>
    </w:p>
    <w:p>
      <w:pPr>
        <w:autoSpaceDN w:val="0"/>
        <w:autoSpaceDE w:val="0"/>
        <w:widowControl/>
        <w:spacing w:line="240" w:lineRule="exact" w:before="2" w:after="0"/>
        <w:ind w:left="568" w:right="0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EV charging initiative is being funded by a federal National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Electric Vehicle Infrastructure grant, according to a Sept. 13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statement from New York Governor Kathy Hochul’s office.</w:t>
      </w:r>
    </w:p>
    <w:p>
      <w:pPr>
        <w:autoSpaceDN w:val="0"/>
        <w:autoSpaceDE w:val="0"/>
        <w:widowControl/>
        <w:spacing w:line="240" w:lineRule="exact" w:before="2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state has created a competitive “Upstate NEVI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Direct Current Fast Charger” program to help expand DCFC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infrastructure making it easier for EV drivers to access a reliable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charging network, the governor’s office said.</w:t>
      </w:r>
    </w:p>
    <w:p>
      <w:pPr>
        <w:autoSpaceDN w:val="0"/>
        <w:autoSpaceDE w:val="0"/>
        <w:widowControl/>
        <w:spacing w:line="240" w:lineRule="exact" w:before="4" w:after="0"/>
        <w:ind w:left="568" w:right="288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first funding round focuses on locations along and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north of Interstate 84, including parts of the state north to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Canadian border and west to Buffalo, the statement said.</w:t>
      </w:r>
    </w:p>
    <w:p>
      <w:pPr>
        <w:autoSpaceDN w:val="0"/>
        <w:autoSpaceDE w:val="0"/>
        <w:widowControl/>
        <w:spacing w:line="240" w:lineRule="exact" w:before="4" w:after="0"/>
        <w:ind w:left="568" w:right="288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funding will be available to qualified infrastructure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developers for installing and operating DCFC stations at one or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more sites along Federal Highway Administration-designated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“Alternative Fuel Corridors, or AFCs.</w:t>
      </w:r>
    </w:p>
    <w:p>
      <w:pPr>
        <w:autoSpaceDN w:val="0"/>
        <w:autoSpaceDE w:val="0"/>
        <w:widowControl/>
        <w:spacing w:line="240" w:lineRule="exact" w:before="4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“Proposed sites must meet all federal requirements, including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being located within one travel mile of an exit, being publicly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accessible 24 hours a day, seven days a week, and having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ability to charge at least four electric vehicles simultaneously,”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according to the statement.</w:t>
      </w:r>
    </w:p>
    <w:p>
      <w:pPr>
        <w:autoSpaceDN w:val="0"/>
        <w:autoSpaceDE w:val="0"/>
        <w:widowControl/>
        <w:spacing w:line="240" w:lineRule="auto" w:before="308" w:after="0"/>
        <w:ind w:left="6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0" cy="127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25800" cy="1651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0" w:after="0"/>
        <w:ind w:left="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25800" cy="11811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81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6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0" cy="889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254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Charging sites must also have no less than 150 kW of capacity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and must meet federal uptime requirements regarding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percentage of time the charging stations are functional.</w:t>
      </w:r>
    </w:p>
    <w:p>
      <w:pPr>
        <w:autoSpaceDN w:val="0"/>
        <w:autoSpaceDE w:val="0"/>
        <w:widowControl/>
        <w:spacing w:line="240" w:lineRule="exact" w:before="2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“As we make the transition away from [gasoline] gas-powered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vehicles, New York is accelerating the number of electric vehicle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fast chargers available to reduce harmful emissions and improve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air quality in our communities,” Governor Hochul said.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104" w:space="0"/>
            <w:col w:w="613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64" w:after="14"/>
        <w:ind w:left="132" w:right="1152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Platts daily metallurgical coal assessments, Sep 16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Atlantic coking coal ($/mt)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1360"/>
        <w:gridCol w:w="1360"/>
        <w:gridCol w:w="1360"/>
        <w:gridCol w:w="1360"/>
        <w:gridCol w:w="1360"/>
        <w:gridCol w:w="1360"/>
        <w:gridCol w:w="1360"/>
        <w:gridCol w:w="1360"/>
        <w:gridCol w:w="1360"/>
      </w:tblGrid>
      <w:tr>
        <w:trPr>
          <w:trHeight w:hRule="exact" w:val="332"/>
        </w:trPr>
        <w:tc>
          <w:tcPr>
            <w:tcW w:type="dxa" w:w="1326"/>
            <w:vMerge w:val="restart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Low Vol HCC </w:t>
            </w:r>
          </w:p>
        </w:tc>
        <w:tc>
          <w:tcPr>
            <w:tcW w:type="dxa" w:w="800"/>
            <w:tcBorders>
              <w:top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4" w:after="0"/>
              <w:ind w:left="0" w:right="0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Symbol </w:t>
            </w:r>
          </w:p>
        </w:tc>
        <w:tc>
          <w:tcPr>
            <w:tcW w:type="dxa" w:w="10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6" w:after="0"/>
              <w:ind w:left="198" w:right="0" w:firstLine="186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 FOB US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East Coast </w:t>
            </w:r>
          </w:p>
        </w:tc>
        <w:tc>
          <w:tcPr>
            <w:tcW w:type="dxa" w:w="6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6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Change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6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VM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6" w:after="0"/>
              <w:ind w:left="7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Ash </w:t>
            </w:r>
          </w:p>
        </w:tc>
        <w:tc>
          <w:tcPr>
            <w:tcW w:type="dxa" w:w="5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6" w:after="0"/>
              <w:ind w:left="13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S</w:t>
            </w:r>
          </w:p>
        </w:tc>
      </w:tr>
      <w:tr>
        <w:trPr>
          <w:trHeight w:hRule="exact" w:val="184"/>
        </w:trPr>
        <w:tc>
          <w:tcPr>
            <w:tcW w:type="dxa" w:w="1360"/>
            <w:vMerge/>
            <w:tcBorders>
              <w:top w:sz="2.0" w:val="single" w:color="#221F1F"/>
              <w:bottom w:sz="2.0" w:val="single" w:color="#D1D2D4"/>
            </w:tcBorders>
          </w:tcPr>
          <w:p/>
        </w:tc>
        <w:tc>
          <w:tcPr>
            <w:tcW w:type="dxa" w:w="1038"/>
            <w:gridSpan w:val="2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208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AAWWR00</w:t>
            </w:r>
          </w:p>
        </w:tc>
        <w:tc>
          <w:tcPr>
            <w:tcW w:type="dxa" w:w="642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190.00</w:t>
            </w:r>
          </w:p>
        </w:tc>
        <w:tc>
          <w:tcPr>
            <w:tcW w:type="dxa" w:w="2384"/>
            <w:gridSpan w:val="5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34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19.25% 8.25% 0.95%</w:t>
            </w:r>
          </w:p>
        </w:tc>
      </w:tr>
      <w:tr>
        <w:trPr>
          <w:trHeight w:hRule="exact" w:val="180"/>
        </w:trPr>
        <w:tc>
          <w:tcPr>
            <w:tcW w:type="dxa" w:w="13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High Vol A </w:t>
            </w:r>
          </w:p>
        </w:tc>
        <w:tc>
          <w:tcPr>
            <w:tcW w:type="dxa" w:w="1038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208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AAWWS00</w:t>
            </w:r>
          </w:p>
        </w:tc>
        <w:tc>
          <w:tcPr>
            <w:tcW w:type="dxa" w:w="64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185.00</w:t>
            </w:r>
          </w:p>
        </w:tc>
        <w:tc>
          <w:tcPr>
            <w:tcW w:type="dxa" w:w="2384"/>
            <w:gridSpan w:val="5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34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32.25% 7.5% 0.95%</w:t>
            </w:r>
          </w:p>
        </w:tc>
      </w:tr>
      <w:tr>
        <w:trPr>
          <w:trHeight w:hRule="exact" w:val="180"/>
        </w:trPr>
        <w:tc>
          <w:tcPr>
            <w:tcW w:type="dxa" w:w="13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High Vol B </w:t>
            </w:r>
          </w:p>
        </w:tc>
        <w:tc>
          <w:tcPr>
            <w:tcW w:type="dxa" w:w="1038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208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AAWWT00</w:t>
            </w:r>
          </w:p>
        </w:tc>
        <w:tc>
          <w:tcPr>
            <w:tcW w:type="dxa" w:w="64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171.00</w:t>
            </w:r>
          </w:p>
        </w:tc>
        <w:tc>
          <w:tcPr>
            <w:tcW w:type="dxa" w:w="800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+2.00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36% </w:t>
            </w:r>
          </w:p>
        </w:tc>
        <w:tc>
          <w:tcPr>
            <w:tcW w:type="dxa" w:w="5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8% </w:t>
            </w:r>
          </w:p>
        </w:tc>
        <w:tc>
          <w:tcPr>
            <w:tcW w:type="dxa" w:w="5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12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1%</w:t>
            </w:r>
          </w:p>
        </w:tc>
      </w:tr>
      <w:tr>
        <w:trPr>
          <w:trHeight w:hRule="exact" w:val="196"/>
        </w:trPr>
        <w:tc>
          <w:tcPr>
            <w:tcW w:type="dxa" w:w="1326"/>
            <w:vMerge w:val="restart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PLV NetForward </w:t>
            </w:r>
          </w:p>
        </w:tc>
        <w:tc>
          <w:tcPr>
            <w:tcW w:type="dxa" w:w="2480"/>
            <w:gridSpan w:val="5"/>
            <w:tcBorders>
              <w:top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3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 CFR NW Europe Change </w:t>
            </w:r>
          </w:p>
        </w:tc>
        <w:tc>
          <w:tcPr>
            <w:tcW w:type="dxa" w:w="54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VM </w:t>
            </w:r>
          </w:p>
        </w:tc>
        <w:tc>
          <w:tcPr>
            <w:tcW w:type="dxa" w:w="50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7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Ash </w:t>
            </w:r>
          </w:p>
        </w:tc>
        <w:tc>
          <w:tcPr>
            <w:tcW w:type="dxa" w:w="544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3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S</w:t>
            </w:r>
          </w:p>
        </w:tc>
      </w:tr>
      <w:tr>
        <w:trPr>
          <w:trHeight w:hRule="exact" w:val="192"/>
        </w:trPr>
        <w:tc>
          <w:tcPr>
            <w:tcW w:type="dxa" w:w="1360"/>
            <w:vMerge/>
            <w:tcBorders>
              <w:top w:sz="2.0" w:val="single" w:color="#D1D2D4"/>
              <w:bottom w:sz="2.0" w:val="single" w:color="#D1D2D4"/>
            </w:tcBorders>
          </w:tcPr>
          <w:p/>
        </w:tc>
        <w:tc>
          <w:tcPr>
            <w:tcW w:type="dxa" w:w="1038"/>
            <w:gridSpan w:val="2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208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PLVHE00</w:t>
            </w:r>
          </w:p>
        </w:tc>
        <w:tc>
          <w:tcPr>
            <w:tcW w:type="dxa" w:w="642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" w:after="0"/>
              <w:ind w:left="0" w:right="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194.55</w:t>
            </w:r>
          </w:p>
        </w:tc>
        <w:tc>
          <w:tcPr>
            <w:tcW w:type="dxa" w:w="800"/>
            <w:gridSpan w:val="2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" w:after="0"/>
              <w:ind w:left="0" w:right="17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>-1.00</w:t>
            </w:r>
          </w:p>
        </w:tc>
        <w:tc>
          <w:tcPr>
            <w:tcW w:type="dxa" w:w="1584"/>
            <w:gridSpan w:val="3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" w:after="0"/>
              <w:ind w:left="4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21.5% 9.3% 0.50%</w:t>
            </w:r>
          </w:p>
        </w:tc>
      </w:tr>
    </w:tbl>
    <w:p>
      <w:pPr>
        <w:autoSpaceDN w:val="0"/>
        <w:autoSpaceDE w:val="0"/>
        <w:widowControl/>
        <w:spacing w:line="196" w:lineRule="exact" w:before="42" w:after="0"/>
        <w:ind w:left="132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4"/>
        </w:rPr>
        <w:t>Asia-Pacific coking coal ($/mt)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206"/>
        </w:trPr>
        <w:tc>
          <w:tcPr>
            <w:tcW w:type="dxa" w:w="1386"/>
            <w:vMerge w:val="restart"/>
            <w:tcBorders>
              <w:top w:sz="2.0" w:val="single" w:color="#000000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Premium Low Vol </w:t>
            </w:r>
          </w:p>
        </w:tc>
        <w:tc>
          <w:tcPr>
            <w:tcW w:type="dxa" w:w="1800"/>
            <w:gridSpan w:val="2"/>
            <w:tcBorders>
              <w:top w:sz="2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5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 FOB Australia </w:t>
            </w:r>
          </w:p>
        </w:tc>
        <w:tc>
          <w:tcPr>
            <w:tcW w:type="dxa" w:w="660"/>
            <w:tcBorders>
              <w:top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Change </w:t>
            </w:r>
          </w:p>
        </w:tc>
        <w:tc>
          <w:tcPr>
            <w:tcW w:type="dxa" w:w="440"/>
            <w:tcBorders>
              <w:top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VM </w:t>
            </w:r>
          </w:p>
        </w:tc>
        <w:tc>
          <w:tcPr>
            <w:tcW w:type="dxa" w:w="540"/>
            <w:tcBorders>
              <w:top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Ash </w:t>
            </w:r>
          </w:p>
        </w:tc>
        <w:tc>
          <w:tcPr>
            <w:tcW w:type="dxa" w:w="564"/>
            <w:tcBorders>
              <w:top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324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S</w:t>
            </w:r>
          </w:p>
        </w:tc>
      </w:tr>
      <w:tr>
        <w:trPr>
          <w:trHeight w:hRule="exact" w:val="176"/>
        </w:trPr>
        <w:tc>
          <w:tcPr>
            <w:tcW w:type="dxa" w:w="1749"/>
            <w:vMerge/>
            <w:tcBorders>
              <w:top w:sz="2.0" w:val="single" w:color="#000000"/>
              <w:bottom w:sz="2.0" w:val="single" w:color="#D1D2D4"/>
            </w:tcBorders>
          </w:tcPr>
          <w:p/>
        </w:tc>
        <w:tc>
          <w:tcPr>
            <w:tcW w:type="dxa" w:w="9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19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PLVHA00</w:t>
            </w:r>
          </w:p>
        </w:tc>
        <w:tc>
          <w:tcPr>
            <w:tcW w:type="dxa" w:w="8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180.00</w:t>
            </w:r>
          </w:p>
        </w:tc>
        <w:tc>
          <w:tcPr>
            <w:tcW w:type="dxa" w:w="2204"/>
            <w:gridSpan w:val="4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10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>-1.00</w:t>
            </w: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21.50% 9.3% 0.5%</w:t>
            </w:r>
          </w:p>
        </w:tc>
      </w:tr>
      <w:tr>
        <w:trPr>
          <w:trHeight w:hRule="exact" w:val="180"/>
        </w:trPr>
        <w:tc>
          <w:tcPr>
            <w:tcW w:type="dxa" w:w="13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Low Vol HCC </w:t>
            </w:r>
          </w:p>
        </w:tc>
        <w:tc>
          <w:tcPr>
            <w:tcW w:type="dxa" w:w="9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19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HCCAU00</w:t>
            </w:r>
          </w:p>
        </w:tc>
        <w:tc>
          <w:tcPr>
            <w:tcW w:type="dxa" w:w="8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155.00</w:t>
            </w:r>
          </w:p>
        </w:tc>
        <w:tc>
          <w:tcPr>
            <w:tcW w:type="dxa" w:w="2204"/>
            <w:gridSpan w:val="4"/>
            <w:tcBorders>
              <w:top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25.50% 9.0% 0.6%</w:t>
            </w:r>
          </w:p>
        </w:tc>
      </w:tr>
    </w:tbl>
    <w:p>
      <w:pPr>
        <w:autoSpaceDN w:val="0"/>
        <w:autoSpaceDE w:val="0"/>
        <w:widowControl/>
        <w:spacing w:line="194" w:lineRule="exact" w:before="42" w:after="2"/>
        <w:ind w:left="132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4"/>
        </w:rPr>
        <w:t>US low-vol HCC Penalties &amp; Premia; Differentials ($/mt)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3060"/>
        <w:gridCol w:w="3060"/>
        <w:gridCol w:w="3060"/>
        <w:gridCol w:w="3060"/>
      </w:tblGrid>
      <w:tr>
        <w:trPr>
          <w:trHeight w:hRule="exact" w:val="502"/>
        </w:trPr>
        <w:tc>
          <w:tcPr>
            <w:tcW w:type="dxa" w:w="1946"/>
            <w:vMerge w:val="restart"/>
            <w:tcBorders>
              <w:top w:sz="2.0" w:val="single" w:color="#000000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Per 1% CSR </w:t>
            </w:r>
          </w:p>
        </w:tc>
        <w:tc>
          <w:tcPr>
            <w:tcW w:type="dxa" w:w="1360"/>
            <w:tcBorders>
              <w:top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00" w:after="0"/>
              <w:ind w:left="576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Within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Min-Max </w:t>
            </w:r>
          </w:p>
        </w:tc>
        <w:tc>
          <w:tcPr>
            <w:tcW w:type="dxa" w:w="1340"/>
            <w:tcBorders>
              <w:top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5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% of US low-vol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HCC FOB USEC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assessment price </w:t>
            </w:r>
          </w:p>
        </w:tc>
        <w:tc>
          <w:tcPr>
            <w:tcW w:type="dxa" w:w="744"/>
            <w:tcBorders>
              <w:top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0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Net value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($/mt)</w:t>
            </w:r>
          </w:p>
        </w:tc>
      </w:tr>
      <w:tr>
        <w:trPr>
          <w:trHeight w:hRule="exact" w:val="178"/>
        </w:trPr>
        <w:tc>
          <w:tcPr>
            <w:tcW w:type="dxa" w:w="3060"/>
            <w:vMerge/>
            <w:tcBorders>
              <w:top w:sz="2.0" w:val="single" w:color="#000000"/>
              <w:bottom w:sz="2.0" w:val="single" w:color="#D1D2D4"/>
            </w:tcBorders>
          </w:tcPr>
          <w:p/>
        </w:tc>
        <w:tc>
          <w:tcPr>
            <w:tcW w:type="dxa" w:w="136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15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50-64% </w:t>
            </w:r>
          </w:p>
        </w:tc>
        <w:tc>
          <w:tcPr>
            <w:tcW w:type="dxa" w:w="13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0.50% </w:t>
            </w:r>
          </w:p>
        </w:tc>
        <w:tc>
          <w:tcPr>
            <w:tcW w:type="dxa" w:w="74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0.95</w:t>
            </w:r>
          </w:p>
        </w:tc>
      </w:tr>
      <w:tr>
        <w:trPr>
          <w:trHeight w:hRule="exact" w:val="180"/>
        </w:trPr>
        <w:tc>
          <w:tcPr>
            <w:tcW w:type="dxa" w:w="19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15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40-49%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0.50% 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0.95</w:t>
            </w:r>
          </w:p>
        </w:tc>
      </w:tr>
      <w:tr>
        <w:trPr>
          <w:trHeight w:hRule="exact" w:val="182"/>
        </w:trPr>
        <w:tc>
          <w:tcPr>
            <w:tcW w:type="dxa" w:w="19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Per 0.1% S </w:t>
            </w:r>
          </w:p>
        </w:tc>
        <w:tc>
          <w:tcPr>
            <w:tcW w:type="dxa" w:w="13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15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0.70-1.05%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0.85% 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1.62</w:t>
            </w:r>
          </w:p>
        </w:tc>
      </w:tr>
      <w:tr>
        <w:trPr>
          <w:trHeight w:hRule="exact" w:val="180"/>
        </w:trPr>
        <w:tc>
          <w:tcPr>
            <w:tcW w:type="dxa" w:w="19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15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1.06-1.25%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1.80% 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3.42</w:t>
            </w:r>
          </w:p>
        </w:tc>
      </w:tr>
      <w:tr>
        <w:trPr>
          <w:trHeight w:hRule="exact" w:val="180"/>
        </w:trPr>
        <w:tc>
          <w:tcPr>
            <w:tcW w:type="dxa" w:w="19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Per 1% TM (as received) </w:t>
            </w:r>
          </w:p>
        </w:tc>
        <w:tc>
          <w:tcPr>
            <w:tcW w:type="dxa" w:w="13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15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6-11%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1.00% 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1.90</w:t>
            </w:r>
          </w:p>
        </w:tc>
      </w:tr>
      <w:tr>
        <w:trPr>
          <w:trHeight w:hRule="exact" w:val="180"/>
        </w:trPr>
        <w:tc>
          <w:tcPr>
            <w:tcW w:type="dxa" w:w="19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Per 1% Ash </w:t>
            </w:r>
          </w:p>
        </w:tc>
        <w:tc>
          <w:tcPr>
            <w:tcW w:type="dxa" w:w="13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15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5-10%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1.75% </w:t>
            </w:r>
          </w:p>
        </w:tc>
        <w:tc>
          <w:tcPr>
            <w:tcW w:type="dxa" w:w="7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3.33</w:t>
            </w:r>
          </w:p>
        </w:tc>
      </w:tr>
    </w:tbl>
    <w:p>
      <w:pPr>
        <w:autoSpaceDN w:val="0"/>
        <w:autoSpaceDE w:val="0"/>
        <w:widowControl/>
        <w:spacing w:line="144" w:lineRule="exact" w:before="54" w:after="0"/>
        <w:ind w:left="132" w:right="1008" w:firstLine="0"/>
        <w:jc w:val="left"/>
      </w:pPr>
      <w:r>
        <w:rPr>
          <w:rFonts w:ascii="AkkuratLL" w:hAnsi="AkkuratLL" w:eastAsia="AkkuratLL"/>
          <w:b w:val="0"/>
          <w:i w:val="0"/>
          <w:color w:val="626366"/>
          <w:sz w:val="13"/>
        </w:rPr>
        <w:t xml:space="preserve">Detailed methodology and specifications are found here: http://platts.com/IM.Platts. </w:t>
      </w:r>
      <w:r>
        <w:rPr>
          <w:rFonts w:ascii="AkkuratLL" w:hAnsi="AkkuratLL" w:eastAsia="AkkuratLL"/>
          <w:b w:val="0"/>
          <w:i w:val="0"/>
          <w:color w:val="626366"/>
          <w:sz w:val="13"/>
        </w:rPr>
        <w:t>Content/MethodologyReferences/MethodologySpecs/metcoalmethod.pdf</w:t>
      </w:r>
    </w:p>
    <w:p>
      <w:pPr>
        <w:autoSpaceDN w:val="0"/>
        <w:autoSpaceDE w:val="0"/>
        <w:widowControl/>
        <w:spacing w:line="284" w:lineRule="exact" w:before="346" w:after="12"/>
        <w:ind w:left="132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>Spot dry bulk freight assessments, Sep 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3060"/>
        <w:gridCol w:w="3060"/>
        <w:gridCol w:w="3060"/>
        <w:gridCol w:w="3060"/>
      </w:tblGrid>
      <w:tr>
        <w:trPr>
          <w:trHeight w:hRule="exact" w:val="282"/>
        </w:trPr>
        <w:tc>
          <w:tcPr>
            <w:tcW w:type="dxa" w:w="1926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1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Capesize</w:t>
            </w:r>
          </w:p>
        </w:tc>
        <w:tc>
          <w:tcPr>
            <w:tcW w:type="dxa" w:w="1560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Platts symbol </w:t>
            </w:r>
          </w:p>
        </w:tc>
        <w:tc>
          <w:tcPr>
            <w:tcW w:type="dxa" w:w="1000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$/mt </w:t>
            </w:r>
          </w:p>
        </w:tc>
        <w:tc>
          <w:tcPr>
            <w:tcW w:type="dxa" w:w="904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208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Chg</w:t>
            </w:r>
          </w:p>
        </w:tc>
      </w:tr>
      <w:tr>
        <w:trPr>
          <w:trHeight w:hRule="exact" w:val="182"/>
        </w:trPr>
        <w:tc>
          <w:tcPr>
            <w:tcW w:type="dxa" w:w="192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Australia-China </w:t>
            </w:r>
          </w:p>
        </w:tc>
        <w:tc>
          <w:tcPr>
            <w:tcW w:type="dxa" w:w="156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36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CDANC00</w:t>
            </w:r>
          </w:p>
        </w:tc>
        <w:tc>
          <w:tcPr>
            <w:tcW w:type="dxa" w:w="100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13.60 </w:t>
            </w:r>
          </w:p>
        </w:tc>
        <w:tc>
          <w:tcPr>
            <w:tcW w:type="dxa" w:w="90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+0.35</w:t>
            </w:r>
          </w:p>
        </w:tc>
      </w:tr>
      <w:tr>
        <w:trPr>
          <w:trHeight w:hRule="exact" w:val="170"/>
        </w:trPr>
        <w:tc>
          <w:tcPr>
            <w:tcW w:type="dxa" w:w="19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Queensland-Japan </w:t>
            </w:r>
          </w:p>
        </w:tc>
        <w:tc>
          <w:tcPr>
            <w:tcW w:type="dxa" w:w="15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36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CIGAJ00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15.30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+0.45</w:t>
            </w:r>
          </w:p>
        </w:tc>
      </w:tr>
      <w:tr>
        <w:trPr>
          <w:trHeight w:hRule="exact" w:val="170"/>
        </w:trPr>
        <w:tc>
          <w:tcPr>
            <w:tcW w:type="dxa" w:w="19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New South Wales-Korea </w:t>
            </w:r>
          </w:p>
        </w:tc>
        <w:tc>
          <w:tcPr>
            <w:tcW w:type="dxa" w:w="15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36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CINAK00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16.45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+0.45</w:t>
            </w:r>
          </w:p>
        </w:tc>
      </w:tr>
      <w:tr>
        <w:trPr>
          <w:trHeight w:hRule="exact" w:val="170"/>
        </w:trPr>
        <w:tc>
          <w:tcPr>
            <w:tcW w:type="dxa" w:w="19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Bolivar-Rotterdam </w:t>
            </w:r>
          </w:p>
        </w:tc>
        <w:tc>
          <w:tcPr>
            <w:tcW w:type="dxa" w:w="15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36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CIBCR00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11.20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>-0.15</w:t>
            </w:r>
          </w:p>
        </w:tc>
      </w:tr>
      <w:tr>
        <w:trPr>
          <w:trHeight w:hRule="exact" w:val="170"/>
        </w:trPr>
        <w:tc>
          <w:tcPr>
            <w:tcW w:type="dxa" w:w="19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Roberts Bank-Japan </w:t>
            </w:r>
          </w:p>
        </w:tc>
        <w:tc>
          <w:tcPr>
            <w:tcW w:type="dxa" w:w="15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36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CDRKJ00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15.20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+0.30</w:t>
            </w:r>
          </w:p>
        </w:tc>
      </w:tr>
    </w:tbl>
    <w:p>
      <w:pPr>
        <w:autoSpaceDN w:val="0"/>
        <w:autoSpaceDE w:val="0"/>
        <w:widowControl/>
        <w:spacing w:line="164" w:lineRule="exact" w:before="24" w:after="6"/>
        <w:ind w:left="132" w:right="0" w:firstLine="0"/>
        <w:jc w:val="left"/>
      </w:pPr>
      <w:r>
        <w:rPr>
          <w:rFonts w:ascii="AkkuratPro" w:hAnsi="AkkuratPro" w:eastAsia="AkkuratPro"/>
          <w:b w:val="0"/>
          <w:i w:val="0"/>
          <w:color w:val="221F1F"/>
          <w:sz w:val="14"/>
        </w:rPr>
        <w:t>Panamax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3060"/>
        <w:gridCol w:w="3060"/>
        <w:gridCol w:w="3060"/>
        <w:gridCol w:w="3060"/>
      </w:tblGrid>
      <w:tr>
        <w:trPr>
          <w:trHeight w:hRule="exact" w:val="182"/>
        </w:trPr>
        <w:tc>
          <w:tcPr>
            <w:tcW w:type="dxa" w:w="210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Richards Bay-India West </w:t>
            </w:r>
          </w:p>
        </w:tc>
        <w:tc>
          <w:tcPr>
            <w:tcW w:type="dxa" w:w="13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CSAKL00</w:t>
            </w:r>
          </w:p>
        </w:tc>
        <w:tc>
          <w:tcPr>
            <w:tcW w:type="dxa" w:w="10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14.75 </w:t>
            </w:r>
          </w:p>
        </w:tc>
        <w:tc>
          <w:tcPr>
            <w:tcW w:type="dxa" w:w="90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+0.05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Kalimantan-India West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CSAKP00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1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9.75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+0.05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Richards Bay-India East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CSAKN00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15.00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+0.05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Kalimantan-India East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CSAKR00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1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8.20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+0.05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Ventspils-Rotterdam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CILTN00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16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7.75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006C88"/>
                <w:sz w:val="14"/>
              </w:rPr>
              <w:t>0.00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USEC-India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CDBUI00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39.00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+0.50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USEC-Rotterdam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CDBUR00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12.00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+0.50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Mobile-Rotterdam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CDMAR00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15.25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+0.50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Roberts Bank-Japan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CDRBK00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17.15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>-0.05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Australia-China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CDBFA00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14.95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+0.10</w:t>
            </w:r>
          </w:p>
        </w:tc>
      </w:tr>
      <w:tr>
        <w:trPr>
          <w:trHeight w:hRule="exact" w:val="170"/>
        </w:trPr>
        <w:tc>
          <w:tcPr>
            <w:tcW w:type="dxa" w:w="21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Australia-India </w:t>
            </w:r>
          </w:p>
        </w:tc>
        <w:tc>
          <w:tcPr>
            <w:tcW w:type="dxa" w:w="13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326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CDBFAI0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15.95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+0.05</w:t>
            </w:r>
          </w:p>
        </w:tc>
      </w:tr>
    </w:tbl>
    <w:p>
      <w:pPr>
        <w:autoSpaceDN w:val="0"/>
        <w:autoSpaceDE w:val="0"/>
        <w:widowControl/>
        <w:spacing w:line="164" w:lineRule="exact" w:before="22" w:after="6"/>
        <w:ind w:left="132" w:right="0" w:firstLine="0"/>
        <w:jc w:val="left"/>
      </w:pPr>
      <w:r>
        <w:rPr>
          <w:rFonts w:ascii="AkkuratPro" w:hAnsi="AkkuratPro" w:eastAsia="AkkuratPro"/>
          <w:b w:val="0"/>
          <w:i w:val="0"/>
          <w:color w:val="221F1F"/>
          <w:sz w:val="14"/>
        </w:rPr>
        <w:t>Supramax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3060"/>
        <w:gridCol w:w="3060"/>
        <w:gridCol w:w="3060"/>
        <w:gridCol w:w="3060"/>
      </w:tblGrid>
      <w:tr>
        <w:trPr>
          <w:trHeight w:hRule="exact" w:val="182"/>
        </w:trPr>
        <w:tc>
          <w:tcPr>
            <w:tcW w:type="dxa" w:w="242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Richards Bay-Port Qasim </w:t>
            </w:r>
          </w:p>
        </w:tc>
        <w:tc>
          <w:tcPr>
            <w:tcW w:type="dxa" w:w="10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214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CRBPB00</w:t>
            </w:r>
          </w:p>
        </w:tc>
        <w:tc>
          <w:tcPr>
            <w:tcW w:type="dxa" w:w="10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17.45 </w:t>
            </w:r>
          </w:p>
        </w:tc>
        <w:tc>
          <w:tcPr>
            <w:tcW w:type="dxa" w:w="90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+0.05</w:t>
            </w:r>
          </w:p>
        </w:tc>
      </w:tr>
      <w:tr>
        <w:trPr>
          <w:trHeight w:hRule="exact" w:val="170"/>
        </w:trPr>
        <w:tc>
          <w:tcPr>
            <w:tcW w:type="dxa" w:w="24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South Kalimantan-Krishnapatnam </w:t>
            </w:r>
          </w:p>
        </w:tc>
        <w:tc>
          <w:tcPr>
            <w:tcW w:type="dxa" w:w="10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22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CISKK00</w:t>
            </w:r>
          </w:p>
        </w:tc>
        <w:tc>
          <w:tcPr>
            <w:tcW w:type="dxa" w:w="10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12.70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>+0.10</w:t>
            </w:r>
          </w:p>
        </w:tc>
      </w:tr>
    </w:tbl>
    <w:p>
      <w:pPr>
        <w:autoSpaceDN w:val="0"/>
        <w:autoSpaceDE w:val="0"/>
        <w:widowControl/>
        <w:spacing w:line="284" w:lineRule="exact" w:before="184" w:after="18"/>
        <w:ind w:left="132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>Platts physical thermal coal netbacks, Sep 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434"/>
        </w:trPr>
        <w:tc>
          <w:tcPr>
            <w:tcW w:type="dxa" w:w="1806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6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Coal ($/mt)</w:t>
            </w:r>
          </w:p>
        </w:tc>
        <w:tc>
          <w:tcPr>
            <w:tcW w:type="dxa" w:w="760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13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Code </w:t>
            </w:r>
          </w:p>
        </w:tc>
        <w:tc>
          <w:tcPr>
            <w:tcW w:type="dxa" w:w="640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2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CV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(kcal/kg)</w:t>
            </w:r>
          </w:p>
        </w:tc>
        <w:tc>
          <w:tcPr>
            <w:tcW w:type="dxa" w:w="480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Basis </w:t>
            </w:r>
          </w:p>
        </w:tc>
        <w:tc>
          <w:tcPr>
            <w:tcW w:type="dxa" w:w="480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Sulfur </w:t>
            </w:r>
          </w:p>
        </w:tc>
        <w:tc>
          <w:tcPr>
            <w:tcW w:type="dxa" w:w="660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7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$/mt </w:t>
            </w:r>
          </w:p>
        </w:tc>
        <w:tc>
          <w:tcPr>
            <w:tcW w:type="dxa" w:w="564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0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Chg</w:t>
            </w:r>
          </w:p>
        </w:tc>
      </w:tr>
      <w:tr>
        <w:trPr>
          <w:trHeight w:hRule="exact" w:val="178"/>
        </w:trPr>
        <w:tc>
          <w:tcPr>
            <w:tcW w:type="dxa" w:w="180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CIF ARA </w:t>
            </w:r>
          </w:p>
        </w:tc>
        <w:tc>
          <w:tcPr>
            <w:tcW w:type="dxa" w:w="76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4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CSARM01</w:t>
            </w:r>
          </w:p>
        </w:tc>
        <w:tc>
          <w:tcPr>
            <w:tcW w:type="dxa" w:w="6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6,000 </w:t>
            </w:r>
          </w:p>
        </w:tc>
        <w:tc>
          <w:tcPr>
            <w:tcW w:type="dxa" w:w="4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NAR </w:t>
            </w:r>
          </w:p>
        </w:tc>
        <w:tc>
          <w:tcPr>
            <w:tcW w:type="dxa" w:w="4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0" w:right="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1.0% </w:t>
            </w:r>
          </w:p>
        </w:tc>
        <w:tc>
          <w:tcPr>
            <w:tcW w:type="dxa" w:w="1224"/>
            <w:gridSpan w:val="2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12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110.80</w:t>
            </w: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 xml:space="preserve"> -1.50</w:t>
            </w:r>
          </w:p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Platts NEAT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4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JKTCA00</w:t>
            </w:r>
          </w:p>
        </w:tc>
        <w:tc>
          <w:tcPr>
            <w:tcW w:type="dxa" w:w="6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5,750 </w:t>
            </w:r>
          </w:p>
        </w:tc>
        <w:tc>
          <w:tcPr>
            <w:tcW w:type="dxa" w:w="4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NAR </w:t>
            </w:r>
          </w:p>
        </w:tc>
        <w:tc>
          <w:tcPr>
            <w:tcW w:type="dxa" w:w="1704"/>
            <w:gridSpan w:val="3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2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1.0%   112.44</w:t>
            </w: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 xml:space="preserve"> +0.11</w:t>
            </w:r>
          </w:p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CFR India West </w:t>
            </w:r>
          </w:p>
        </w:tc>
        <w:tc>
          <w:tcPr>
            <w:tcW w:type="dxa" w:w="76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4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CIWCI00</w:t>
            </w:r>
          </w:p>
        </w:tc>
        <w:tc>
          <w:tcPr>
            <w:tcW w:type="dxa" w:w="6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5,500 </w:t>
            </w:r>
          </w:p>
        </w:tc>
        <w:tc>
          <w:tcPr>
            <w:tcW w:type="dxa" w:w="4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NAR </w:t>
            </w:r>
          </w:p>
        </w:tc>
        <w:tc>
          <w:tcPr>
            <w:tcW w:type="dxa" w:w="1704"/>
            <w:gridSpan w:val="3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2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0.8%   104.20</w:t>
            </w: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 xml:space="preserve"> +0.05</w:t>
            </w:r>
          </w:p>
        </w:tc>
      </w:tr>
      <w:tr>
        <w:trPr>
          <w:trHeight w:hRule="exact" w:val="208"/>
        </w:trPr>
        <w:tc>
          <w:tcPr>
            <w:tcW w:type="dxa" w:w="3206"/>
            <w:gridSpan w:val="3"/>
            <w:tcBorders>
              <w:top w:sz="2.0" w:val="single" w:color="#D1D2D4"/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Panamax Freight ($/mt)</w:t>
            </w:r>
          </w:p>
        </w:tc>
        <w:tc>
          <w:tcPr>
            <w:tcW w:type="dxa" w:w="2184"/>
            <w:gridSpan w:val="4"/>
            <w:vMerge w:val="restart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4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12.00</w:t>
            </w: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 xml:space="preserve"> +0.50</w:t>
            </w:r>
          </w:p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USEC-Rotterdam </w:t>
            </w:r>
          </w:p>
        </w:tc>
        <w:tc>
          <w:tcPr>
            <w:tcW w:type="dxa" w:w="1400"/>
            <w:gridSpan w:val="2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236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CDBUR00</w:t>
            </w:r>
          </w:p>
        </w:tc>
        <w:tc>
          <w:tcPr>
            <w:tcW w:type="dxa" w:w="6996"/>
            <w:gridSpan w:val="4"/>
            <w:vMerge/>
            <w:tcBorders>
              <w:top w:sz="2.0" w:val="single" w:color="#D1D2D4"/>
              <w:bottom w:sz="2.0" w:val="single" w:color="#D1D2D4"/>
            </w:tcBorders>
          </w:tcPr>
          <w:p/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Mobile-Rotterdam </w:t>
            </w:r>
          </w:p>
        </w:tc>
        <w:tc>
          <w:tcPr>
            <w:tcW w:type="dxa" w:w="1400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232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CDMAR00</w:t>
            </w:r>
          </w:p>
        </w:tc>
        <w:tc>
          <w:tcPr>
            <w:tcW w:type="dxa" w:w="2184"/>
            <w:gridSpan w:val="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15.25</w:t>
            </w: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 xml:space="preserve"> +0.50</w:t>
            </w:r>
          </w:p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Roberts Bank-Japan </w:t>
            </w:r>
          </w:p>
        </w:tc>
        <w:tc>
          <w:tcPr>
            <w:tcW w:type="dxa" w:w="1400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24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CDRBK00</w:t>
            </w:r>
          </w:p>
        </w:tc>
        <w:tc>
          <w:tcPr>
            <w:tcW w:type="dxa" w:w="2184"/>
            <w:gridSpan w:val="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17.15</w:t>
            </w: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 xml:space="preserve"> -0.05</w:t>
            </w:r>
          </w:p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Richards Bay-India West </w:t>
            </w:r>
          </w:p>
        </w:tc>
        <w:tc>
          <w:tcPr>
            <w:tcW w:type="dxa" w:w="1400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236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CSAKL00</w:t>
            </w:r>
          </w:p>
        </w:tc>
        <w:tc>
          <w:tcPr>
            <w:tcW w:type="dxa" w:w="2184"/>
            <w:gridSpan w:val="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14.75</w:t>
            </w: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 xml:space="preserve"> +0.05</w:t>
            </w:r>
          </w:p>
        </w:tc>
      </w:tr>
      <w:tr>
        <w:trPr>
          <w:trHeight w:hRule="exact" w:val="208"/>
        </w:trPr>
        <w:tc>
          <w:tcPr>
            <w:tcW w:type="dxa" w:w="3206"/>
            <w:gridSpan w:val="3"/>
            <w:tcBorders>
              <w:top w:sz="2.0" w:val="single" w:color="#D1D2D4"/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Penalties &amp; Premia ($/mt)</w:t>
            </w:r>
          </w:p>
        </w:tc>
        <w:tc>
          <w:tcPr>
            <w:tcW w:type="dxa" w:w="2184"/>
            <w:gridSpan w:val="4"/>
            <w:vMerge w:val="restart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4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1.32</w:t>
            </w: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 xml:space="preserve"> -0.10</w:t>
            </w:r>
          </w:p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Per 0.1% Sulfur (USGC) </w:t>
            </w:r>
          </w:p>
        </w:tc>
        <w:tc>
          <w:tcPr>
            <w:tcW w:type="dxa" w:w="1400"/>
            <w:gridSpan w:val="2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236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COPAP00</w:t>
            </w:r>
          </w:p>
        </w:tc>
        <w:tc>
          <w:tcPr>
            <w:tcW w:type="dxa" w:w="6996"/>
            <w:gridSpan w:val="4"/>
            <w:vMerge/>
            <w:tcBorders>
              <w:top w:sz="2.0" w:val="single" w:color="#D1D2D4"/>
              <w:bottom w:sz="2.0" w:val="single" w:color="#D1D2D4"/>
            </w:tcBorders>
          </w:tcPr>
          <w:p/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Total S discount (USGC) </w:t>
            </w:r>
          </w:p>
        </w:tc>
        <w:tc>
          <w:tcPr>
            <w:tcW w:type="dxa" w:w="1400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234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COPBP00</w:t>
            </w:r>
          </w:p>
        </w:tc>
        <w:tc>
          <w:tcPr>
            <w:tcW w:type="dxa" w:w="2184"/>
            <w:gridSpan w:val="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21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25.08</w:t>
            </w: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 xml:space="preserve"> -1.90</w:t>
            </w:r>
          </w:p>
        </w:tc>
      </w:tr>
      <w:tr>
        <w:trPr>
          <w:trHeight w:hRule="exact" w:val="208"/>
        </w:trPr>
        <w:tc>
          <w:tcPr>
            <w:tcW w:type="dxa" w:w="3206"/>
            <w:gridSpan w:val="3"/>
            <w:tcBorders>
              <w:top w:sz="2.0" w:val="single" w:color="#D1D2D4"/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Netbacks ($/mt)</w:t>
            </w:r>
          </w:p>
        </w:tc>
        <w:tc>
          <w:tcPr>
            <w:tcW w:type="dxa" w:w="2184"/>
            <w:gridSpan w:val="4"/>
            <w:vMerge w:val="restart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5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NAR max 1%    95.30</w:t>
            </w:r>
            <w:r>
              <w:rPr>
                <w:rFonts w:ascii="AkkuratPro" w:hAnsi="AkkuratPro" w:eastAsia="AkkuratPro"/>
                <w:b w:val="0"/>
                <w:i w:val="0"/>
                <w:color w:val="157527"/>
                <w:sz w:val="14"/>
              </w:rPr>
              <w:t xml:space="preserve"> +0.15</w:t>
            </w:r>
          </w:p>
        </w:tc>
      </w:tr>
      <w:tr>
        <w:trPr>
          <w:trHeight w:hRule="exact" w:val="170"/>
        </w:trPr>
        <w:tc>
          <w:tcPr>
            <w:tcW w:type="dxa" w:w="2566"/>
            <w:gridSpan w:val="2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FOB West Coast North America </w:t>
            </w: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CTVCB00</w:t>
            </w:r>
          </w:p>
        </w:tc>
        <w:tc>
          <w:tcPr>
            <w:tcW w:type="dxa" w:w="6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5,750 </w:t>
            </w:r>
          </w:p>
        </w:tc>
        <w:tc>
          <w:tcPr>
            <w:tcW w:type="dxa" w:w="6996"/>
            <w:gridSpan w:val="4"/>
            <w:vMerge/>
            <w:tcBorders>
              <w:top w:sz="2.0" w:val="single" w:color="#D1D2D4"/>
              <w:bottom w:sz="2.0" w:val="single" w:color="#D1D2D4"/>
            </w:tcBorders>
          </w:tcPr>
          <w:p/>
        </w:tc>
      </w:tr>
      <w:tr>
        <w:trPr>
          <w:trHeight w:hRule="exact" w:val="210"/>
        </w:trPr>
        <w:tc>
          <w:tcPr>
            <w:tcW w:type="dxa" w:w="3206"/>
            <w:gridSpan w:val="3"/>
            <w:tcBorders>
              <w:top w:sz="2.0" w:val="single" w:color="#D1D2D4"/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Netbacks ($/st)</w:t>
            </w:r>
          </w:p>
        </w:tc>
        <w:tc>
          <w:tcPr>
            <w:tcW w:type="dxa" w:w="480"/>
            <w:vMerge w:val="restart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GAR </w:t>
            </w:r>
          </w:p>
        </w:tc>
        <w:tc>
          <w:tcPr>
            <w:tcW w:type="dxa" w:w="480"/>
            <w:vMerge w:val="restart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0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1.0% </w:t>
            </w:r>
          </w:p>
        </w:tc>
        <w:tc>
          <w:tcPr>
            <w:tcW w:type="dxa" w:w="1224"/>
            <w:gridSpan w:val="2"/>
            <w:vMerge w:val="restart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99.59</w:t>
            </w: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 xml:space="preserve"> -2.02</w:t>
            </w:r>
          </w:p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FOB US East Coast* </w:t>
            </w:r>
          </w:p>
        </w:tc>
        <w:tc>
          <w:tcPr>
            <w:tcW w:type="dxa" w:w="1400"/>
            <w:gridSpan w:val="2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2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COUSC00</w:t>
            </w: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12,500 </w:t>
            </w:r>
          </w:p>
        </w:tc>
        <w:tc>
          <w:tcPr>
            <w:tcW w:type="dxa" w:w="1749"/>
            <w:vMerge/>
            <w:tcBorders>
              <w:top w:sz="2.0" w:val="single" w:color="#D1D2D4"/>
              <w:bottom w:sz="2.0" w:val="single" w:color="#D1D2D4"/>
            </w:tcBorders>
          </w:tcPr>
          <w:p/>
        </w:tc>
        <w:tc>
          <w:tcPr>
            <w:tcW w:type="dxa" w:w="1749"/>
            <w:vMerge/>
            <w:tcBorders>
              <w:top w:sz="2.0" w:val="single" w:color="#D1D2D4"/>
              <w:bottom w:sz="2.0" w:val="single" w:color="#D1D2D4"/>
            </w:tcBorders>
          </w:tcPr>
          <w:p/>
        </w:tc>
        <w:tc>
          <w:tcPr>
            <w:tcW w:type="dxa" w:w="3498"/>
            <w:gridSpan w:val="2"/>
            <w:vMerge/>
            <w:tcBorders>
              <w:top w:sz="2.0" w:val="single" w:color="#D1D2D4"/>
              <w:bottom w:sz="2.0" w:val="single" w:color="#D1D2D4"/>
            </w:tcBorders>
          </w:tcPr>
          <w:p/>
        </w:tc>
      </w:tr>
      <w:tr>
        <w:trPr>
          <w:trHeight w:hRule="exact" w:val="170"/>
        </w:trPr>
        <w:tc>
          <w:tcPr>
            <w:tcW w:type="dxa" w:w="180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FOB US Gulf Coast* </w:t>
            </w:r>
          </w:p>
        </w:tc>
        <w:tc>
          <w:tcPr>
            <w:tcW w:type="dxa" w:w="1400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0" w:right="0" w:firstLine="0"/>
              <w:jc w:val="lef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COUGU00</w:t>
            </w: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11,500 </w:t>
            </w:r>
          </w:p>
        </w:tc>
        <w:tc>
          <w:tcPr>
            <w:tcW w:type="dxa" w:w="4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GAR </w:t>
            </w:r>
          </w:p>
        </w:tc>
        <w:tc>
          <w:tcPr>
            <w:tcW w:type="dxa" w:w="1704"/>
            <w:gridSpan w:val="3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2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2.9%    65.53</w:t>
            </w:r>
            <w:r>
              <w:rPr>
                <w:rFonts w:ascii="AkkuratPro" w:hAnsi="AkkuratPro" w:eastAsia="AkkuratPro"/>
                <w:b w:val="0"/>
                <w:i w:val="0"/>
                <w:color w:val="B10022"/>
                <w:sz w:val="14"/>
              </w:rPr>
              <w:t xml:space="preserve"> -0.13</w:t>
            </w:r>
          </w:p>
        </w:tc>
      </w:tr>
    </w:tbl>
    <w:p>
      <w:pPr>
        <w:autoSpaceDN w:val="0"/>
        <w:autoSpaceDE w:val="0"/>
        <w:widowControl/>
        <w:spacing w:line="176" w:lineRule="exact" w:before="50" w:after="480"/>
        <w:ind w:left="132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* CV = Btu/lb</w:t>
      </w: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104" w:space="0"/>
            <w:col w:w="613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430"/>
        </w:trPr>
        <w:tc>
          <w:tcPr>
            <w:tcW w:type="dxa" w:w="3666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8574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27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3962400</wp:posOffset>
            </wp:positionH>
            <wp:positionV relativeFrom="page">
              <wp:posOffset>3144520</wp:posOffset>
            </wp:positionV>
            <wp:extent cx="3420109" cy="2156276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0109" cy="21562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6959600</wp:posOffset>
            </wp:positionH>
            <wp:positionV relativeFrom="page">
              <wp:posOffset>4406900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4064000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4000500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3987800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3937000</wp:posOffset>
            </wp:positionV>
            <wp:extent cx="50800" cy="508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3911600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3822700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4330700</wp:posOffset>
            </wp:positionH>
            <wp:positionV relativeFrom="page">
              <wp:posOffset>4229100</wp:posOffset>
            </wp:positionV>
            <wp:extent cx="508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4203700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3390900</wp:posOffset>
            </wp:positionV>
            <wp:extent cx="76200" cy="165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5118100</wp:posOffset>
            </wp:positionV>
            <wp:extent cx="63500" cy="889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4991100</wp:posOffset>
            </wp:positionV>
            <wp:extent cx="63500" cy="889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4584700</wp:posOffset>
            </wp:positionH>
            <wp:positionV relativeFrom="page">
              <wp:posOffset>4914900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4864100</wp:posOffset>
            </wp:positionV>
            <wp:extent cx="63500" cy="88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4241800</wp:posOffset>
            </wp:positionH>
            <wp:positionV relativeFrom="page">
              <wp:posOffset>4737100</wp:posOffset>
            </wp:positionV>
            <wp:extent cx="50800" cy="889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4610100</wp:posOffset>
            </wp:positionV>
            <wp:extent cx="63500" cy="889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4470400</wp:posOffset>
            </wp:positionV>
            <wp:extent cx="63500" cy="889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4381500</wp:posOffset>
            </wp:positionV>
            <wp:extent cx="177800" cy="800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00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4343400</wp:posOffset>
            </wp:positionV>
            <wp:extent cx="63500" cy="889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10644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</w:tr>
      <w:tr>
        <w:trPr>
          <w:trHeight w:hRule="exact" w:val="122"/>
        </w:trPr>
        <w:tc>
          <w:tcPr>
            <w:tcW w:type="dxa" w:w="12240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542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tabs>
          <w:tab w:pos="822" w:val="left"/>
        </w:tabs>
        <w:autoSpaceDE w:val="0"/>
        <w:widowControl/>
        <w:spacing w:line="240" w:lineRule="exact" w:before="16" w:after="0"/>
        <w:ind w:left="566" w:right="144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18"/>
        </w:rPr>
        <w:t xml:space="preserve">Grid operator reliability concerns 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As the state moves ahead with multiple strategies to comply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with its aggressive climate law, the Climate Leadership and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Community Protection Act, a recent New York Independent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System Operator power grid study has indicated the power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supply is tightening.</w:t>
      </w:r>
    </w:p>
    <w:p>
      <w:pPr>
        <w:autoSpaceDN w:val="0"/>
        <w:autoSpaceDE w:val="0"/>
        <w:widowControl/>
        <w:spacing w:line="240" w:lineRule="exact" w:before="2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New York is advancing measures to ensure that all new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passenger cars and trucks sold be zero emissions by 2035, as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well as having all school buses be zero emissions the same year,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according to the statement.</w:t>
      </w:r>
    </w:p>
    <w:p>
      <w:pPr>
        <w:autoSpaceDN w:val="0"/>
        <w:autoSpaceDE w:val="0"/>
        <w:widowControl/>
        <w:spacing w:line="240" w:lineRule="exact" w:before="2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state is also working to electrify space heating in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commercial buildings and homes, which will further increase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power demand. At the same time, power demand is increasing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due to construction of new industrial facilities and data centers.</w:t>
      </w:r>
    </w:p>
    <w:p>
      <w:pPr>
        <w:autoSpaceDN w:val="0"/>
        <w:autoSpaceDE w:val="0"/>
        <w:widowControl/>
        <w:spacing w:line="240" w:lineRule="exact" w:before="4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preliminary NYISO study has found the state could be at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risk of insufficient power supplies of at least 1,000 MW by 2034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due to increasing power demand as well as assumed natural gas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unavailability.</w:t>
      </w:r>
    </w:p>
    <w:p>
      <w:pPr>
        <w:autoSpaceDN w:val="0"/>
        <w:autoSpaceDE w:val="0"/>
        <w:widowControl/>
        <w:spacing w:line="240" w:lineRule="exact" w:before="4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Part of the concern is that while power demand is increasing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from efforts to combat climate change and increase economic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development, tighter regulations for gas-fired power plants are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causing some power plants to retire, thus reducing supply while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demand is increasing.</w:t>
      </w:r>
    </w:p>
    <w:p>
      <w:pPr>
        <w:autoSpaceDN w:val="0"/>
        <w:autoSpaceDE w:val="0"/>
        <w:widowControl/>
        <w:spacing w:line="240" w:lineRule="exact" w:before="4" w:after="0"/>
        <w:ind w:left="566" w:right="28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NYISO study also found that there could be a New York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City transmission security margin baseline deficiency starting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in 2031 due to expected New York Power Authority small gas-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fired power plant retirements, growing to 275 MW by 2034 due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to demand growth, according to preliminary Reliability Needs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Assessment results.</w:t>
      </w:r>
    </w:p>
    <w:p>
      <w:pPr>
        <w:autoSpaceDN w:val="0"/>
        <w:autoSpaceDE w:val="0"/>
        <w:widowControl/>
        <w:spacing w:line="240" w:lineRule="exact" w:before="2" w:after="0"/>
        <w:ind w:left="566" w:right="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By 2034, NYISO expects 2,821 MW of incremental power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generation capacity to be added to the system and 1,216 MW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be removed. Additionally, power demand from large loads during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summer peak increases from 368 MW in 2024 to 2,268 MW by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2034, with similar results for the winter peak.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" w:after="0"/>
        <w:ind w:left="566" w:right="576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Demand from EVs is forecast to increase from 1,124 GWh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2024 to 36,937 GWh by 2044, according to NYISO data. </w:t>
      </w:r>
    </w:p>
    <w:p>
      <w:pPr>
        <w:autoSpaceDN w:val="0"/>
        <w:autoSpaceDE w:val="0"/>
        <w:widowControl/>
        <w:spacing w:line="240" w:lineRule="exact" w:before="2" w:after="0"/>
        <w:ind w:left="566" w:right="432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Additionally, power demand from electrifying buildings is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expected to outstrip power demand from EVs by around 2040.</w:t>
      </w:r>
    </w:p>
    <w:p>
      <w:pPr>
        <w:autoSpaceDN w:val="0"/>
        <w:autoSpaceDE w:val="0"/>
        <w:widowControl/>
        <w:spacing w:line="240" w:lineRule="exact" w:before="2" w:after="0"/>
        <w:ind w:left="566" w:right="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By 2044, the combined power demand from EVs and building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electrification is 81,821 GWh, up from a total of 1,378 GWh in 2024,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NYISO data shows.</w:t>
      </w:r>
    </w:p>
    <w:p>
      <w:pPr>
        <w:autoSpaceDN w:val="0"/>
        <w:autoSpaceDE w:val="0"/>
        <w:widowControl/>
        <w:spacing w:line="242" w:lineRule="exact" w:before="0" w:after="0"/>
        <w:ind w:left="0" w:right="148" w:firstLine="0"/>
        <w:jc w:val="right"/>
      </w:pP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46" w:history="1">
          <w:r>
            <w:rPr>
              <w:rStyle w:val="Hyperlink"/>
            </w:rPr>
            <w:t>Jared Anderson</w:t>
          </w:r>
        </w:hyperlink>
      </w:r>
    </w:p>
    <w:p>
      <w:pPr>
        <w:autoSpaceDN w:val="0"/>
        <w:autoSpaceDE w:val="0"/>
        <w:widowControl/>
        <w:spacing w:line="240" w:lineRule="exact" w:before="254" w:after="0"/>
        <w:ind w:left="566" w:right="1584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IAEA sees potential for global nuclear </w:t>
      </w:r>
      <w:r>
        <w:rPr>
          <w:rFonts w:ascii="AkkuratLL" w:hAnsi="AkkuratLL" w:eastAsia="AkkuratLL"/>
          <w:b/>
          <w:i w:val="0"/>
          <w:color w:val="221F1F"/>
          <w:sz w:val="22"/>
        </w:rPr>
        <w:t>capacity more than doubling by 2050</w:t>
      </w:r>
    </w:p>
    <w:p>
      <w:pPr>
        <w:autoSpaceDN w:val="0"/>
        <w:autoSpaceDE w:val="0"/>
        <w:widowControl/>
        <w:spacing w:line="240" w:lineRule="exact" w:before="102" w:after="0"/>
        <w:ind w:left="822" w:right="576" w:firstLine="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scenario with less supportive actions, capacity could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rise 40%</w:t>
      </w:r>
    </w:p>
    <w:p>
      <w:pPr>
        <w:autoSpaceDN w:val="0"/>
        <w:autoSpaceDE w:val="0"/>
        <w:widowControl/>
        <w:spacing w:line="242" w:lineRule="exact" w:before="68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Small reactors could be a quarter of new capacity</w:t>
      </w:r>
    </w:p>
    <w:p>
      <w:pPr>
        <w:autoSpaceDN w:val="0"/>
        <w:autoSpaceDE w:val="0"/>
        <w:widowControl/>
        <w:spacing w:line="244" w:lineRule="exact" w:before="68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Slow growth in North America, Europe, jump seen in Asia</w:t>
      </w:r>
    </w:p>
    <w:p>
      <w:pPr>
        <w:autoSpaceDN w:val="0"/>
        <w:autoSpaceDE w:val="0"/>
        <w:widowControl/>
        <w:spacing w:line="240" w:lineRule="exact" w:before="224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World nuclear power capacity may more than double by 2050,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report from the International Atomic Energy Agency said Sept.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16. The IAEA report assumed a strong roll out of small modular 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100" w:space="0"/>
            <w:col w:w="6140" w:space="0"/>
          </w:cols>
          <w:docGrid w:linePitch="360"/>
        </w:sectPr>
      </w:pPr>
    </w:p>
    <w:p>
      <w:pPr>
        <w:autoSpaceDN w:val="0"/>
        <w:autoSpaceDE w:val="0"/>
        <w:widowControl/>
        <w:spacing w:line="284" w:lineRule="exact" w:before="0" w:after="40"/>
        <w:ind w:left="136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>Heating/cooling degree day outlook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3.99999999999977" w:type="dxa"/>
      </w:tblPr>
      <w:tblGrid>
        <w:gridCol w:w="2448"/>
        <w:gridCol w:w="2448"/>
        <w:gridCol w:w="2448"/>
        <w:gridCol w:w="2448"/>
        <w:gridCol w:w="2448"/>
      </w:tblGrid>
      <w:tr>
        <w:trPr>
          <w:trHeight w:hRule="exact" w:val="368"/>
        </w:trPr>
        <w:tc>
          <w:tcPr>
            <w:tcW w:type="dxa" w:w="1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NERC Region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0" w:right="154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Oct-24 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8" w:after="0"/>
              <w:ind w:left="144" w:right="144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Departure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from normal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0" w:right="164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Nov-24 </w:t>
            </w:r>
          </w:p>
        </w:tc>
        <w:tc>
          <w:tcPr>
            <w:tcW w:type="dxa" w:w="10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8" w:after="0"/>
              <w:ind w:left="144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Departure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from normal</w:t>
            </w:r>
          </w:p>
        </w:tc>
      </w:tr>
      <w:tr>
        <w:trPr>
          <w:trHeight w:hRule="exact" w:val="166"/>
        </w:trPr>
        <w:tc>
          <w:tcPr>
            <w:tcW w:type="dxa" w:w="126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WECC </w:t>
            </w:r>
          </w:p>
        </w:tc>
        <w:tc>
          <w:tcPr>
            <w:tcW w:type="dxa" w:w="10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81 </w:t>
            </w:r>
          </w:p>
        </w:tc>
        <w:tc>
          <w:tcPr>
            <w:tcW w:type="dxa" w:w="12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43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-18% </w:t>
            </w:r>
          </w:p>
        </w:tc>
        <w:tc>
          <w:tcPr>
            <w:tcW w:type="dxa" w:w="90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225 </w:t>
            </w:r>
          </w:p>
        </w:tc>
        <w:tc>
          <w:tcPr>
            <w:tcW w:type="dxa" w:w="102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-12%</w:t>
            </w:r>
          </w:p>
        </w:tc>
      </w:tr>
      <w:tr>
        <w:trPr>
          <w:trHeight w:hRule="exact" w:val="170"/>
        </w:trPr>
        <w:tc>
          <w:tcPr>
            <w:tcW w:type="dxa" w:w="1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SPP 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118 </w:t>
            </w:r>
          </w:p>
        </w:tc>
        <w:tc>
          <w:tcPr>
            <w:tcW w:type="dxa" w:w="12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-1% </w:t>
            </w:r>
          </w:p>
        </w:tc>
        <w:tc>
          <w:tcPr>
            <w:tcW w:type="dxa" w:w="9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451 </w:t>
            </w:r>
          </w:p>
        </w:tc>
        <w:tc>
          <w:tcPr>
            <w:tcW w:type="dxa" w:w="10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0%</w:t>
            </w:r>
          </w:p>
        </w:tc>
      </w:tr>
      <w:tr>
        <w:trPr>
          <w:trHeight w:hRule="exact" w:val="170"/>
        </w:trPr>
        <w:tc>
          <w:tcPr>
            <w:tcW w:type="dxa" w:w="1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SERC 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56 </w:t>
            </w:r>
          </w:p>
        </w:tc>
        <w:tc>
          <w:tcPr>
            <w:tcW w:type="dxa" w:w="12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43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-26% </w:t>
            </w:r>
          </w:p>
        </w:tc>
        <w:tc>
          <w:tcPr>
            <w:tcW w:type="dxa" w:w="9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317 </w:t>
            </w:r>
          </w:p>
        </w:tc>
        <w:tc>
          <w:tcPr>
            <w:tcW w:type="dxa" w:w="10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-4%</w:t>
            </w:r>
          </w:p>
        </w:tc>
      </w:tr>
      <w:tr>
        <w:trPr>
          <w:trHeight w:hRule="exact" w:val="170"/>
        </w:trPr>
        <w:tc>
          <w:tcPr>
            <w:tcW w:type="dxa" w:w="1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RFC 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243 </w:t>
            </w:r>
          </w:p>
        </w:tc>
        <w:tc>
          <w:tcPr>
            <w:tcW w:type="dxa" w:w="12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43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-16% </w:t>
            </w:r>
          </w:p>
        </w:tc>
        <w:tc>
          <w:tcPr>
            <w:tcW w:type="dxa" w:w="9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630 </w:t>
            </w:r>
          </w:p>
        </w:tc>
        <w:tc>
          <w:tcPr>
            <w:tcW w:type="dxa" w:w="10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-1%</w:t>
            </w:r>
          </w:p>
        </w:tc>
      </w:tr>
      <w:tr>
        <w:trPr>
          <w:trHeight w:hRule="exact" w:val="170"/>
        </w:trPr>
        <w:tc>
          <w:tcPr>
            <w:tcW w:type="dxa" w:w="1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NPCC 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183 </w:t>
            </w:r>
          </w:p>
        </w:tc>
        <w:tc>
          <w:tcPr>
            <w:tcW w:type="dxa" w:w="12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43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-20% </w:t>
            </w:r>
          </w:p>
        </w:tc>
        <w:tc>
          <w:tcPr>
            <w:tcW w:type="dxa" w:w="9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527 </w:t>
            </w:r>
          </w:p>
        </w:tc>
        <w:tc>
          <w:tcPr>
            <w:tcW w:type="dxa" w:w="10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-1%</w:t>
            </w:r>
          </w:p>
        </w:tc>
      </w:tr>
      <w:tr>
        <w:trPr>
          <w:trHeight w:hRule="exact" w:val="170"/>
        </w:trPr>
        <w:tc>
          <w:tcPr>
            <w:tcW w:type="dxa" w:w="1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MRO 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325 </w:t>
            </w:r>
          </w:p>
        </w:tc>
        <w:tc>
          <w:tcPr>
            <w:tcW w:type="dxa" w:w="12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-5% </w:t>
            </w:r>
          </w:p>
        </w:tc>
        <w:tc>
          <w:tcPr>
            <w:tcW w:type="dxa" w:w="9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728 </w:t>
            </w:r>
          </w:p>
        </w:tc>
        <w:tc>
          <w:tcPr>
            <w:tcW w:type="dxa" w:w="10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0%</w:t>
            </w:r>
          </w:p>
        </w:tc>
      </w:tr>
      <w:tr>
        <w:trPr>
          <w:trHeight w:hRule="exact" w:val="170"/>
        </w:trPr>
        <w:tc>
          <w:tcPr>
            <w:tcW w:type="dxa" w:w="1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FRCC 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0 </w:t>
            </w:r>
          </w:p>
        </w:tc>
        <w:tc>
          <w:tcPr>
            <w:tcW w:type="dxa" w:w="12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0% </w:t>
            </w:r>
          </w:p>
        </w:tc>
        <w:tc>
          <w:tcPr>
            <w:tcW w:type="dxa" w:w="9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29 </w:t>
            </w:r>
          </w:p>
        </w:tc>
        <w:tc>
          <w:tcPr>
            <w:tcW w:type="dxa" w:w="10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-15%</w:t>
            </w:r>
          </w:p>
        </w:tc>
      </w:tr>
      <w:tr>
        <w:trPr>
          <w:trHeight w:hRule="exact" w:val="170"/>
        </w:trPr>
        <w:tc>
          <w:tcPr>
            <w:tcW w:type="dxa" w:w="1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ERCOT </w:t>
            </w:r>
          </w:p>
        </w:tc>
        <w:tc>
          <w:tcPr>
            <w:tcW w:type="dxa" w:w="10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7 </w:t>
            </w:r>
          </w:p>
        </w:tc>
        <w:tc>
          <w:tcPr>
            <w:tcW w:type="dxa" w:w="12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4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+123% </w:t>
            </w:r>
          </w:p>
        </w:tc>
        <w:tc>
          <w:tcPr>
            <w:tcW w:type="dxa" w:w="9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136 </w:t>
            </w:r>
          </w:p>
        </w:tc>
        <w:tc>
          <w:tcPr>
            <w:tcW w:type="dxa" w:w="102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 +4%</w:t>
            </w:r>
          </w:p>
        </w:tc>
      </w:tr>
    </w:tbl>
    <w:p>
      <w:pPr>
        <w:autoSpaceDN w:val="0"/>
        <w:autoSpaceDE w:val="0"/>
        <w:widowControl/>
        <w:spacing w:line="156" w:lineRule="exact" w:before="46" w:after="0"/>
        <w:ind w:left="136" w:right="72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 xml:space="preserve">Note: Heating Degree Days run September 1 to April 30, Cooling Degree Days run May 1 to </w:t>
      </w:r>
      <w:r>
        <w:rPr>
          <w:rFonts w:ascii="AkkuratLL" w:hAnsi="AkkuratLL" w:eastAsia="AkkuratLL"/>
          <w:b w:val="0"/>
          <w:i w:val="0"/>
          <w:color w:val="221F1F"/>
          <w:sz w:val="13"/>
        </w:rPr>
        <w:t xml:space="preserve">August 31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3"/>
        </w:rPr>
        <w:t>Source: CustomWeather</w:t>
      </w:r>
    </w:p>
    <w:p>
      <w:pPr>
        <w:autoSpaceDN w:val="0"/>
        <w:autoSpaceDE w:val="0"/>
        <w:widowControl/>
        <w:spacing w:line="240" w:lineRule="auto" w:before="810" w:after="256"/>
        <w:ind w:left="1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79700" cy="1397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2240"/>
      </w:tblGrid>
      <w:tr>
        <w:trPr>
          <w:trHeight w:hRule="exact" w:val="3204"/>
        </w:trPr>
        <w:tc>
          <w:tcPr>
            <w:tcW w:type="dxa" w:w="5386"/>
            <w:tcBorders>
              <w:start w:sz="8.0" w:val="single" w:color="#C6C7C9"/>
              <w:top w:sz="8.0" w:val="single" w:color="#C6C7C9"/>
              <w:end w:sz="8.0" w:val="single" w:color="#C6C7C9"/>
              <w:bottom w:sz="8.0" w:val="single" w:color="#C6C7C9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120" w:after="0"/>
        <w:ind w:left="1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20900" cy="889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474" w:after="0"/>
        <w:ind w:left="136" w:right="1152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reactors, along with national investments in grids, reactor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demonstration projects, and standards harmonization.</w:t>
      </w:r>
    </w:p>
    <w:p>
      <w:pPr>
        <w:autoSpaceDN w:val="0"/>
        <w:autoSpaceDE w:val="0"/>
        <w:widowControl/>
        <w:spacing w:line="240" w:lineRule="exact" w:before="2" w:after="0"/>
        <w:ind w:left="136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From a base of 372 GW global nuclear operational capacity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at the end of 2023, the report looked at high and low estimates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for likely nuclear power output by 2050, depending on policy and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business actions.</w:t>
      </w:r>
    </w:p>
    <w:p>
      <w:pPr>
        <w:autoSpaceDN w:val="0"/>
        <w:autoSpaceDE w:val="0"/>
        <w:widowControl/>
        <w:spacing w:line="240" w:lineRule="exact" w:before="2" w:after="0"/>
        <w:ind w:left="136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“In the high case, global nuclear operational capacity is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projected to increase to 2.5 times the current capacity, reaching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950 GW by 2050,” the report said. In the low case, an increase of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about 40% is predicted, taking total installed capacity to 514 GW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in 2040.</w:t>
      </w:r>
    </w:p>
    <w:p>
      <w:pPr>
        <w:autoSpaceDN w:val="0"/>
        <w:autoSpaceDE w:val="0"/>
        <w:widowControl/>
        <w:spacing w:line="240" w:lineRule="exact" w:before="2" w:after="0"/>
        <w:ind w:left="136" w:right="100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SMRs would account for about a quarter (24%) of total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installed capacity added between 2023 and 2050 in the high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case. In the low case the capacity added by SMRs was 6%.</w:t>
      </w:r>
    </w:p>
    <w:p>
      <w:pPr>
        <w:autoSpaceDN w:val="0"/>
        <w:autoSpaceDE w:val="0"/>
        <w:widowControl/>
        <w:spacing w:line="240" w:lineRule="exact" w:before="4" w:after="592"/>
        <w:ind w:left="136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“SMRs have the potential to support smaller grids in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developing countries, power electricity-hungry data centers, or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even provide low-carbon propulsion for commercial shipping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vessels,” IAEA Director General Rafael Grossi said during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opening session of the organization’s general conference Sept.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16. “But they still have challenges to overcome before they can be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deployed,” he added, noting that the IAEA is promoting regulatory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harmonization to make SMR deployment more efficient.</w:t>
      </w: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100" w:space="0"/>
            <w:col w:w="614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430"/>
        </w:trPr>
        <w:tc>
          <w:tcPr>
            <w:tcW w:type="dxa" w:w="3666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8574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27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10644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</w:tr>
      <w:tr>
        <w:trPr>
          <w:trHeight w:hRule="exact" w:val="122"/>
        </w:trPr>
        <w:tc>
          <w:tcPr>
            <w:tcW w:type="dxa" w:w="12240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556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tabs>
          <w:tab w:pos="822" w:val="left"/>
        </w:tabs>
        <w:autoSpaceDE w:val="0"/>
        <w:widowControl/>
        <w:spacing w:line="240" w:lineRule="exact" w:before="2" w:after="0"/>
        <w:ind w:left="566" w:right="0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IAEA said the high case is “plausible and technically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feasible, and it is possible that capacity could increase beyond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that projected.”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However, “enabling factors” needed to reach or exceed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high case predictions include “national policies and strategies,”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for instance “supporting investment, demonstration projects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for new reactor technologies, investment in grids, supply chain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management for reactor construction, regulatory collaboration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and global harmonization (particularly for SMR development).”</w:t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North America, the low case assumed 89 GW installed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capacity in 2050, or 228 GW in the high case, compared with 109.5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2023. For north, west and southern Europe, the 2050 low and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high estimates figures are 69 GW or 135 GW, respectively. The low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case represented a decline from 2023 levels of 93.8 GW.</w:t>
      </w:r>
    </w:p>
    <w:p>
      <w:pPr>
        <w:autoSpaceDN w:val="0"/>
        <w:autoSpaceDE w:val="0"/>
        <w:widowControl/>
        <w:spacing w:line="240" w:lineRule="exact" w:before="4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Most growth would be seen in Central and Eastern Asia with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207 GW in the low case and 297 GW in the high case, up from 91.9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GW in 2023. Considerable growth was forecast in Eastern Europe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and South Asia in both scenarios.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40" w:after="0"/>
        <w:ind w:left="566" w:right="288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18"/>
        </w:rPr>
        <w:t xml:space="preserve">Fossil fuels still dominate power mix 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Hydro power and nuclear were the largest sources of “low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carbon electricity” in 2023, the report said. Nuclear contributed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9.2% of global electricity production in 2023, with hydro power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adding about 15% although “its share has been gradually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>declining since 1980.” Wind and solar provided 13% in 2023.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4" w:after="0"/>
        <w:ind w:left="566" w:right="14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“The share of hydro and nuclear has declined gradually over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past 30-40 years owing to a lack of investment,” the report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found. However, “with a share of about 60%, fossil fuels —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particularly coal — have remained dominant energy sources for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electricity production since 1980.”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report assumes that global final energy consumption will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have dropped by 2% by 2050 and that electricity production will 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108" w:space="0"/>
            <w:col w:w="6132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“more than” double.</w:t>
      </w:r>
    </w:p>
    <w:p>
      <w:pPr>
        <w:autoSpaceDN w:val="0"/>
        <w:tabs>
          <w:tab w:pos="384" w:val="left"/>
          <w:tab w:pos="4004" w:val="left"/>
        </w:tabs>
        <w:autoSpaceDE w:val="0"/>
        <w:widowControl/>
        <w:spacing w:line="240" w:lineRule="exact" w:before="2" w:after="0"/>
        <w:ind w:left="128" w:right="576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European industry representatives Nuclear Europe said [in an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email] they planned to publish their own report “in the coming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weeks looking at what different nuclear capacity scenarios 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2050 would bring as benefits to the European energy system.”</w:t>
      </w:r>
      <w:r>
        <w:tab/>
      </w:r>
      <w:r>
        <w:tab/>
      </w: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30" w:history="1">
          <w:r>
            <w:rPr>
              <w:rStyle w:val="Hyperlink"/>
            </w:rPr>
            <w:t>Emily Waterfield</w:t>
          </w:r>
        </w:hyperlink>
      </w:r>
    </w:p>
    <w:p>
      <w:pPr>
        <w:autoSpaceDN w:val="0"/>
        <w:autoSpaceDE w:val="0"/>
        <w:widowControl/>
        <w:spacing w:line="278" w:lineRule="exact" w:before="290" w:after="0"/>
        <w:ind w:left="1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20"/>
        </w:rPr>
        <w:t>Export Markets</w:t>
      </w:r>
    </w:p>
    <w:p>
      <w:pPr>
        <w:autoSpaceDN w:val="0"/>
        <w:autoSpaceDE w:val="0"/>
        <w:widowControl/>
        <w:spacing w:line="240" w:lineRule="exact" w:before="166" w:after="0"/>
        <w:ind w:left="128" w:right="1728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Alberta July coal production holds </w:t>
      </w:r>
      <w:r>
        <w:br/>
      </w:r>
      <w:r>
        <w:rPr>
          <w:rFonts w:ascii="AkkuratLL" w:hAnsi="AkkuratLL" w:eastAsia="AkkuratLL"/>
          <w:b/>
          <w:i w:val="0"/>
          <w:color w:val="221F1F"/>
          <w:sz w:val="22"/>
        </w:rPr>
        <w:t>mostly steady on month at 1.3 MMt: AER</w:t>
      </w:r>
    </w:p>
    <w:p>
      <w:pPr>
        <w:autoSpaceDN w:val="0"/>
        <w:autoSpaceDE w:val="0"/>
        <w:widowControl/>
        <w:spacing w:line="242" w:lineRule="exact" w:before="100" w:after="0"/>
        <w:ind w:left="3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Coal Valley production surge boosts total</w:t>
      </w:r>
    </w:p>
    <w:p>
      <w:pPr>
        <w:autoSpaceDN w:val="0"/>
        <w:autoSpaceDE w:val="0"/>
        <w:widowControl/>
        <w:spacing w:line="242" w:lineRule="exact" w:before="68" w:after="0"/>
        <w:ind w:left="3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Province exports 609,709 t to South Korea</w:t>
      </w:r>
    </w:p>
    <w:p>
      <w:pPr>
        <w:autoSpaceDN w:val="0"/>
        <w:autoSpaceDE w:val="0"/>
        <w:widowControl/>
        <w:spacing w:line="240" w:lineRule="exact" w:before="296" w:after="0"/>
        <w:ind w:left="128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spike in output from producer Coal Valley helped monthly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Alberta coal production remain mostly stable in July, according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Sept. 16 data from the Alberta Energy regulator.</w:t>
      </w:r>
    </w:p>
    <w:p>
      <w:pPr>
        <w:autoSpaceDN w:val="0"/>
        <w:autoSpaceDE w:val="0"/>
        <w:widowControl/>
        <w:spacing w:line="240" w:lineRule="exact" w:before="2" w:after="0"/>
        <w:ind w:left="128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province posted 1.3 million metric tons of output in July,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just 1,820 t ahead of its June production total and 80,723 t above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its 2024 monthly average.</w:t>
      </w:r>
    </w:p>
    <w:p>
      <w:pPr>
        <w:autoSpaceDN w:val="0"/>
        <w:tabs>
          <w:tab w:pos="384" w:val="left"/>
        </w:tabs>
        <w:autoSpaceDE w:val="0"/>
        <w:widowControl/>
        <w:spacing w:line="240" w:lineRule="exact" w:before="2" w:after="0"/>
        <w:ind w:left="128" w:right="1152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AER reports monthly totals roughly six weeks after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conclusion of the production period.</w:t>
      </w:r>
    </w:p>
    <w:p>
      <w:pPr>
        <w:autoSpaceDN w:val="0"/>
        <w:autoSpaceDE w:val="0"/>
        <w:widowControl/>
        <w:spacing w:line="240" w:lineRule="exact" w:before="2" w:after="0"/>
        <w:ind w:left="128" w:right="72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Coal Valley’s 425,707 t output total was 154,282 t higher than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its June production number and 215,359 t above the July 2023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figure. The output was its highest since March 2023 and pushed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its monthly average for the year to 269,354 t.</w:t>
      </w:r>
    </w:p>
    <w:p>
      <w:pPr>
        <w:autoSpaceDN w:val="0"/>
        <w:autoSpaceDE w:val="0"/>
        <w:widowControl/>
        <w:spacing w:line="240" w:lineRule="exact" w:before="2" w:after="0"/>
        <w:ind w:left="128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Coalspur’s July production total fell to a 2024-low 818,378 t,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down 172,429 t, or 13.3%, from June. The company’s 2024 monthly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output average fell to 869,857 t.</w:t>
      </w:r>
    </w:p>
    <w:p>
      <w:pPr>
        <w:autoSpaceDN w:val="0"/>
        <w:tabs>
          <w:tab w:pos="384" w:val="left"/>
        </w:tabs>
        <w:autoSpaceDE w:val="0"/>
        <w:widowControl/>
        <w:spacing w:line="240" w:lineRule="exact" w:before="4" w:after="362"/>
        <w:ind w:left="128" w:right="86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Alberta’s July thermal coal production dipped 1.3% to 1.25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MMt, and 16,915 t that moved its monthly average up to 1.143 </w:t>
      </w: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108" w:space="0"/>
            <w:col w:w="61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638"/>
        </w:trPr>
        <w:tc>
          <w:tcPr>
            <w:tcW w:type="dxa" w:w="4184"/>
            <w:gridSpan w:val="4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2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6400" cy="1143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76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96" w:after="0"/>
              <w:ind w:left="100" w:right="144" w:firstLine="0"/>
              <w:jc w:val="left"/>
            </w:pPr>
            <w:r>
              <w:rPr>
                <w:rFonts w:ascii="AkkuratLL" w:hAnsi="AkkuratLL" w:eastAsia="AkkuratLL"/>
                <w:b w:val="0"/>
                <w:i/>
                <w:color w:val="221F1F"/>
                <w:sz w:val="12"/>
              </w:rPr>
              <w:t>Coal Trader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 is published every business day by S&amp;P Global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Commodity Insights, a division of S&amp;P Global, registered office: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20 Canada Square, Canary Wharf, London, E14 5LH.</w:t>
            </w:r>
          </w:p>
        </w:tc>
        <w:tc>
          <w:tcPr>
            <w:tcW w:type="dxa" w:w="4280"/>
            <w:vMerge w:val="restart"/>
            <w:tcBorders>
              <w:top w:sz="4.0" w:val="single" w:color="#221F1F"/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74" w:after="0"/>
              <w:ind w:left="90" w:right="576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merchantability or fitness for a particular purpose or use as to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the Data, or the results obtained by its use or as to the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performance thereof. Data in this publication includes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independent and verifiable data collected from actual market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participants. Any user of the Data should not rely on any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information and/or assessment contained therein in making any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investment, trading, risk management or other decision. S&amp;P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Global Commodity Insights, its affiliates and their third-party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licensors do not guarantee the adequacy, accuracy, timeliness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and/or completeness of the Data or any component thereof or </w:t>
            </w:r>
          </w:p>
        </w:tc>
      </w:tr>
      <w:tr>
        <w:trPr>
          <w:trHeight w:hRule="exact" w:val="220"/>
        </w:trPr>
        <w:tc>
          <w:tcPr>
            <w:tcW w:type="dxa" w:w="4184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3900" cy="2032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0"/>
            <w:vMerge/>
            <w:tcBorders>
              <w:top w:sz="4.0" w:val="single" w:color="#221F1F"/>
            </w:tcBorders>
          </w:tcPr>
          <w:p/>
        </w:tc>
        <w:tc>
          <w:tcPr>
            <w:tcW w:type="dxa" w:w="2040"/>
            <w:vMerge/>
            <w:tcBorders>
              <w:top w:sz="4.0" w:val="single" w:color="#221F1F"/>
              <w:bottom w:sz="2.0" w:val="single" w:color="#221F1F"/>
            </w:tcBorders>
          </w:tcPr>
          <w:p/>
        </w:tc>
      </w:tr>
      <w:tr>
        <w:trPr>
          <w:trHeight w:hRule="exact" w:val="160"/>
        </w:trPr>
        <w:tc>
          <w:tcPr>
            <w:tcW w:type="dxa" w:w="8160"/>
            <w:gridSpan w:val="4"/>
            <w:vMerge/>
            <w:tcBorders/>
          </w:tcPr>
          <w:p/>
        </w:tc>
        <w:tc>
          <w:tcPr>
            <w:tcW w:type="dxa" w:w="37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0" w:after="0"/>
              <w:ind w:left="9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Officers of the Corporation: Richard E. Thornburgh, Non-Executive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Chairman; Doug Peterson, President and Chief Executive Officer;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Christopher Craig Interim Chief Financial Officer; Steve Kemps,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Executive Vice President, General Counsel</w:t>
            </w:r>
          </w:p>
        </w:tc>
        <w:tc>
          <w:tcPr>
            <w:tcW w:type="dxa" w:w="2040"/>
            <w:vMerge/>
            <w:tcBorders>
              <w:top w:sz="4.0" w:val="single" w:color="#221F1F"/>
              <w:bottom w:sz="2.0" w:val="single" w:color="#221F1F"/>
            </w:tcBorders>
          </w:tcPr>
          <w:p/>
        </w:tc>
      </w:tr>
      <w:tr>
        <w:trPr>
          <w:trHeight w:hRule="exact" w:val="460"/>
        </w:trPr>
        <w:tc>
          <w:tcPr>
            <w:tcW w:type="dxa" w:w="418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38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000000"/>
                <w:sz w:val="24"/>
              </w:rPr>
              <w:t>Coal Trader</w:t>
            </w:r>
          </w:p>
        </w:tc>
        <w:tc>
          <w:tcPr>
            <w:tcW w:type="dxa" w:w="2040"/>
            <w:vMerge/>
            <w:tcBorders/>
          </w:tcPr>
          <w:p/>
        </w:tc>
        <w:tc>
          <w:tcPr>
            <w:tcW w:type="dxa" w:w="2040"/>
            <w:vMerge/>
            <w:tcBorders>
              <w:top w:sz="4.0" w:val="single" w:color="#221F1F"/>
              <w:bottom w:sz="2.0" w:val="single" w:color="#221F1F"/>
            </w:tcBorders>
          </w:tcPr>
          <w:p/>
        </w:tc>
      </w:tr>
      <w:tr>
        <w:trPr>
          <w:trHeight w:hRule="exact" w:val="200"/>
        </w:trPr>
        <w:tc>
          <w:tcPr>
            <w:tcW w:type="dxa" w:w="860"/>
            <w:vMerge w:val="restart"/>
            <w:tcBorders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" w:after="0"/>
              <w:ind w:left="0" w:right="0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ISSN:</w:t>
            </w:r>
          </w:p>
        </w:tc>
        <w:tc>
          <w:tcPr>
            <w:tcW w:type="dxa" w:w="3324"/>
            <w:gridSpan w:val="3"/>
            <w:vMerge w:val="restart"/>
            <w:tcBorders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" w:after="0"/>
              <w:ind w:left="3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1555-3485</w:t>
            </w:r>
          </w:p>
        </w:tc>
        <w:tc>
          <w:tcPr>
            <w:tcW w:type="dxa" w:w="37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8" w:after="0"/>
              <w:ind w:left="9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© 2024 by S&amp;P Global Inc. All rights reserved.</w:t>
            </w:r>
          </w:p>
        </w:tc>
        <w:tc>
          <w:tcPr>
            <w:tcW w:type="dxa" w:w="2040"/>
            <w:vMerge/>
            <w:tcBorders>
              <w:top w:sz="4.0" w:val="single" w:color="#221F1F"/>
              <w:bottom w:sz="2.0" w:val="single" w:color="#221F1F"/>
            </w:tcBorders>
          </w:tcPr>
          <w:p/>
        </w:tc>
      </w:tr>
      <w:tr>
        <w:trPr>
          <w:trHeight w:hRule="exact" w:val="112"/>
        </w:trPr>
        <w:tc>
          <w:tcPr>
            <w:tcW w:type="dxa" w:w="2040"/>
            <w:vMerge/>
            <w:tcBorders>
              <w:bottom w:sz="2.0" w:val="single" w:color="#221F1F"/>
            </w:tcBorders>
          </w:tcPr>
          <w:p/>
        </w:tc>
        <w:tc>
          <w:tcPr>
            <w:tcW w:type="dxa" w:w="6120"/>
            <w:gridSpan w:val="3"/>
            <w:vMerge/>
            <w:tcBorders>
              <w:bottom w:sz="2.0" w:val="single" w:color="#221F1F"/>
            </w:tcBorders>
          </w:tcPr>
          <w:p/>
        </w:tc>
        <w:tc>
          <w:tcPr>
            <w:tcW w:type="dxa" w:w="3776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40"/>
            <w:vMerge/>
            <w:tcBorders>
              <w:top w:sz="4.0" w:val="single" w:color="#221F1F"/>
              <w:bottom w:sz="2.0" w:val="single" w:color="#221F1F"/>
            </w:tcBorders>
          </w:tcPr>
          <w:p/>
        </w:tc>
      </w:tr>
      <w:tr>
        <w:trPr>
          <w:trHeight w:hRule="exact" w:val="508"/>
        </w:trPr>
        <w:tc>
          <w:tcPr>
            <w:tcW w:type="dxa" w:w="4184"/>
            <w:gridSpan w:val="4"/>
            <w:vMerge w:val="restart"/>
            <w:tcBorders>
              <w:top w:sz="2.0" w:val="single" w:color="#221F1F"/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8" w:after="0"/>
              <w:ind w:left="566" w:right="72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Contact Client Services: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ci.support@spglobal.com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Americas: +1-800-752-8878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Europe &amp; Middle East: +44-20-7176-6111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Asia Pacific: +65-6530-64300</w:t>
            </w:r>
          </w:p>
        </w:tc>
        <w:tc>
          <w:tcPr>
            <w:tcW w:type="dxa" w:w="3776"/>
            <w:tcBorders>
              <w:top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" w:after="0"/>
              <w:ind w:left="9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S&amp;P Global, the S&amp;P Global logo, S&amp;P Global Commodity Insights,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and Platts are trademarks of S&amp;P Global Inc.  Permission for any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commercial use of these trademarks must be obtained in writing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from S&amp;P Global Inc.</w:t>
            </w:r>
          </w:p>
        </w:tc>
        <w:tc>
          <w:tcPr>
            <w:tcW w:type="dxa" w:w="4280"/>
            <w:vMerge w:val="restart"/>
            <w:tcBorders>
              <w:top w:sz="2.0" w:val="single" w:color="#221F1F"/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0" w:after="0"/>
              <w:ind w:left="90" w:right="576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any communications (whether written, oral, electronic or in other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format), and shall not be subject to any damages or liability,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including but not limited to any indirect, special, incidental,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punitive or consequential damages (including but not limited to, </w:t>
            </w:r>
          </w:p>
        </w:tc>
      </w:tr>
      <w:tr>
        <w:trPr>
          <w:trHeight w:hRule="exact" w:val="130"/>
        </w:trPr>
        <w:tc>
          <w:tcPr>
            <w:tcW w:type="dxa" w:w="8160"/>
            <w:gridSpan w:val="4"/>
            <w:vMerge/>
            <w:tcBorders>
              <w:top w:sz="2.0" w:val="single" w:color="#221F1F"/>
              <w:bottom w:sz="2.0" w:val="single" w:color="#221F1F"/>
            </w:tcBorders>
          </w:tcPr>
          <w:p/>
        </w:tc>
        <w:tc>
          <w:tcPr>
            <w:tcW w:type="dxa" w:w="3776"/>
            <w:tcBorders>
              <w:bottom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9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You may view or otherwise use the information, prices, indices, </w:t>
            </w:r>
          </w:p>
        </w:tc>
        <w:tc>
          <w:tcPr>
            <w:tcW w:type="dxa" w:w="2040"/>
            <w:vMerge/>
            <w:tcBorders>
              <w:top w:sz="2.0" w:val="single" w:color="#221F1F"/>
              <w:bottom w:sz="2.0" w:val="single" w:color="#221F1F"/>
            </w:tcBorders>
          </w:tcPr>
          <w:p/>
        </w:tc>
      </w:tr>
      <w:tr>
        <w:trPr>
          <w:trHeight w:hRule="exact" w:val="90"/>
        </w:trPr>
        <w:tc>
          <w:tcPr>
            <w:tcW w:type="dxa" w:w="4184"/>
            <w:gridSpan w:val="4"/>
            <w:vMerge w:val="restart"/>
            <w:tcBorders>
              <w:top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00" w:after="0"/>
              <w:ind w:left="57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Head of Global Coal – Pricing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Deepak Kannan, +91-124-612-7258, deepak.kannan@spglobal.com</w:t>
            </w:r>
          </w:p>
        </w:tc>
        <w:tc>
          <w:tcPr>
            <w:tcW w:type="dxa" w:w="3776"/>
            <w:vMerge w:val="restart"/>
            <w:tcBorders>
              <w:top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assessments and other related information, graphs, tables and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images (“Data”) in this publication only for your personal use or, if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you or your company has a license for the Data from S&amp;P Global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Commodity Insights and you are an authorized user, for your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company’s internal business use only. You may not publish,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reproduce, extract, distribute, retransmit, resell, create any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derivative work from and/or otherwise provide access to the Data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or any portion thereof to any person (either within or outside your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company, including as part of or via any internal electronic system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or intranet), firm or entity, including any subsidiary, parent, or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other entity that is affiliated with your company, without S&amp;P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Global Commodity Insights’ prior written consent or as otherwise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authorized under license from S&amp;P Global Commodity Insights. </w:t>
            </w:r>
          </w:p>
          <w:p>
            <w:pPr>
              <w:autoSpaceDN w:val="0"/>
              <w:autoSpaceDE w:val="0"/>
              <w:widowControl/>
              <w:spacing w:line="140" w:lineRule="exact" w:before="22" w:after="0"/>
              <w:ind w:left="96" w:right="144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Any use or distribution of the Data beyond the express uses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authorized in this paragraph above is subject to the payment of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additional fees to S&amp;P Global Commodity Insights.</w:t>
            </w:r>
          </w:p>
        </w:tc>
        <w:tc>
          <w:tcPr>
            <w:tcW w:type="dxa" w:w="4280"/>
            <w:tcBorders>
              <w:top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9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loss of profits, trading losses and loss of goodwill).</w:t>
            </w:r>
          </w:p>
        </w:tc>
      </w:tr>
      <w:tr>
        <w:trPr>
          <w:trHeight w:hRule="exact" w:val="560"/>
        </w:trPr>
        <w:tc>
          <w:tcPr>
            <w:tcW w:type="dxa" w:w="8160"/>
            <w:gridSpan w:val="4"/>
            <w:vMerge/>
            <w:tcBorders>
              <w:top w:sz="2.0" w:val="single" w:color="#221F1F"/>
            </w:tcBorders>
          </w:tcPr>
          <w:p/>
        </w:tc>
        <w:tc>
          <w:tcPr>
            <w:tcW w:type="dxa" w:w="2040"/>
            <w:vMerge/>
            <w:tcBorders>
              <w:top w:sz="2.0" w:val="single" w:color="#221F1F"/>
            </w:tcBorders>
          </w:tcPr>
          <w:p/>
        </w:tc>
        <w:tc>
          <w:tcPr>
            <w:tcW w:type="dxa" w:w="4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90" w:right="576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ICE index data and NYMEX futures data used herein are provided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under S&amp;P Global Commodity Insights’ commercial licensing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agreements with ICE and with NYMEX. You acknowledge that the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ICE index data and NYMEX futures data herein are confidential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and are proprietary trade secrets and data of ICE and NYMEX or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its licensors/suppliers, and you shall use best efforts to prevent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the unauthorized publication, disclosure or copying of the ICE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index data and/or NYMEX futures data.</w:t>
            </w:r>
          </w:p>
        </w:tc>
      </w:tr>
      <w:tr>
        <w:trPr>
          <w:trHeight w:hRule="exact" w:val="620"/>
        </w:trPr>
        <w:tc>
          <w:tcPr>
            <w:tcW w:type="dxa" w:w="418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2" w:after="0"/>
              <w:ind w:left="570" w:right="144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Associate Editor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Michael Fox, +1-832-450-1549, michael.fox@spglobal.com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Morgan Snook, +1-570-505-9285, morgan.snook@spglobal.com</w:t>
            </w:r>
          </w:p>
        </w:tc>
        <w:tc>
          <w:tcPr>
            <w:tcW w:type="dxa" w:w="2040"/>
            <w:vMerge/>
            <w:tcBorders>
              <w:top w:sz="2.0" w:val="single" w:color="#221F1F"/>
            </w:tcBorders>
          </w:tcPr>
          <w:p/>
        </w:tc>
        <w:tc>
          <w:tcPr>
            <w:tcW w:type="dxa" w:w="2040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418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72" w:after="0"/>
              <w:ind w:left="570" w:right="432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Global Head of Generating Fuels &amp; Electric Power Pricing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Francis Browne</w:t>
            </w:r>
          </w:p>
        </w:tc>
        <w:tc>
          <w:tcPr>
            <w:tcW w:type="dxa" w:w="2040"/>
            <w:vMerge/>
            <w:tcBorders>
              <w:top w:sz="2.0" w:val="single" w:color="#221F1F"/>
            </w:tcBorders>
          </w:tcPr>
          <w:p/>
        </w:tc>
        <w:tc>
          <w:tcPr>
            <w:tcW w:type="dxa" w:w="4280"/>
            <w:vMerge w:val="restart"/>
            <w:tcBorders>
              <w:bottom w:sz="2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6" w:after="0"/>
              <w:ind w:left="90" w:right="576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Permission is granted for those registered with the Copyright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Clearance Center (CCC) to copy material herein for internal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reference or personal use only, provided that appropriate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payment is made to the CCC, 222 Rosewood Drive, Danvers, MA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01923, phone +1-978-750-8400. Reproduction in any other form, or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for any other purpose, is forbidden without the express prior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permission of S&amp;P Global Inc. For article reprints contact: The YGS </w:t>
            </w:r>
          </w:p>
        </w:tc>
      </w:tr>
      <w:tr>
        <w:trPr>
          <w:trHeight w:hRule="exact" w:val="612"/>
        </w:trPr>
        <w:tc>
          <w:tcPr>
            <w:tcW w:type="dxa" w:w="418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2" w:after="0"/>
              <w:ind w:left="570" w:right="1152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President of S&amp;P Global Commodity Insights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Saugata Saha</w:t>
            </w:r>
          </w:p>
        </w:tc>
        <w:tc>
          <w:tcPr>
            <w:tcW w:type="dxa" w:w="2040"/>
            <w:vMerge/>
            <w:tcBorders>
              <w:top w:sz="2.0" w:val="single" w:color="#221F1F"/>
            </w:tcBorders>
          </w:tcPr>
          <w:p/>
        </w:tc>
        <w:tc>
          <w:tcPr>
            <w:tcW w:type="dxa" w:w="2040"/>
            <w:vMerge/>
            <w:tcBorders>
              <w:bottom w:sz="2.0" w:val="single" w:color="#221F1F"/>
            </w:tcBorders>
          </w:tcPr>
          <w:p/>
        </w:tc>
      </w:tr>
      <w:tr>
        <w:trPr>
          <w:trHeight w:hRule="exact" w:val="167"/>
        </w:trPr>
        <w:tc>
          <w:tcPr>
            <w:tcW w:type="dxa" w:w="2040"/>
            <w:gridSpan w:val="2"/>
            <w:vMerge w:val="restart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6" w:after="0"/>
              <w:ind w:left="572" w:right="288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Advertising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Tel: +1-212-884-9534</w:t>
            </w:r>
          </w:p>
        </w:tc>
        <w:tc>
          <w:tcPr>
            <w:tcW w:type="dxa" w:w="2144"/>
            <w:gridSpan w:val="2"/>
            <w:vMerge w:val="restart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6" w:after="0"/>
              <w:ind w:left="37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Manager, Advertisement Sales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Joseph Mennella,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joseph.mennella@spglobal.com</w:t>
            </w:r>
          </w:p>
        </w:tc>
        <w:tc>
          <w:tcPr>
            <w:tcW w:type="dxa" w:w="3776"/>
            <w:vMerge w:val="restart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8" w:after="0"/>
              <w:ind w:left="9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S&amp;P Global Commodity Insights, its affiliates and all of their third-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party licensors disclaim any and all warranties, express or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implied, including, but not limited to, any warranties of </w:t>
            </w:r>
          </w:p>
        </w:tc>
        <w:tc>
          <w:tcPr>
            <w:tcW w:type="dxa" w:w="4280"/>
            <w:tcBorders>
              <w:top w:sz="2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9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Group, phone +1-717-505-9701 x105 (800-501-9571 from the U.S.).</w:t>
            </w:r>
          </w:p>
        </w:tc>
      </w:tr>
      <w:tr>
        <w:trPr>
          <w:trHeight w:hRule="exact" w:val="610"/>
        </w:trPr>
        <w:tc>
          <w:tcPr>
            <w:tcW w:type="dxa" w:w="4080"/>
            <w:gridSpan w:val="2"/>
            <w:vMerge/>
            <w:tcBorders>
              <w:bottom w:sz="4.0" w:val="single" w:color="#D1D2D4"/>
            </w:tcBorders>
          </w:tcPr>
          <w:p/>
        </w:tc>
        <w:tc>
          <w:tcPr>
            <w:tcW w:type="dxa" w:w="4080"/>
            <w:gridSpan w:val="2"/>
            <w:vMerge/>
            <w:tcBorders>
              <w:bottom w:sz="4.0" w:val="single" w:color="#D1D2D4"/>
            </w:tcBorders>
          </w:tcPr>
          <w:p/>
        </w:tc>
        <w:tc>
          <w:tcPr>
            <w:tcW w:type="dxa" w:w="2040"/>
            <w:vMerge/>
            <w:tcBorders>
              <w:bottom w:sz="4.0" w:val="single" w:color="#D1D2D4"/>
            </w:tcBorders>
          </w:tcPr>
          <w:p/>
        </w:tc>
        <w:tc>
          <w:tcPr>
            <w:tcW w:type="dxa" w:w="4280"/>
            <w:tcBorders>
              <w:bottom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38" w:after="0"/>
              <w:ind w:left="90" w:right="576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 xml:space="preserve">For all other queries or requests pursuant to this notice, please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2"/>
              </w:rPr>
              <w:t>contact S&amp;P Global Inc. via email at ci.support@spglobal.com.</w:t>
            </w:r>
          </w:p>
        </w:tc>
      </w:tr>
      <w:tr>
        <w:trPr>
          <w:trHeight w:hRule="exact" w:val="430"/>
        </w:trPr>
        <w:tc>
          <w:tcPr>
            <w:tcW w:type="dxa" w:w="3666"/>
            <w:gridSpan w:val="3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518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0" w:right="114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6</w:t>
            </w:r>
          </w:p>
        </w:tc>
        <w:tc>
          <w:tcPr>
            <w:tcW w:type="dxa" w:w="3776"/>
            <w:tcBorders>
              <w:top w:sz="4.0" w:val="single" w:color="#D1D2D4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280"/>
            <w:tcBorders>
              <w:top w:sz="4.0" w:val="single" w:color="#D1D2D4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10644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</w:tr>
      <w:tr>
        <w:trPr>
          <w:trHeight w:hRule="exact" w:val="122"/>
        </w:trPr>
        <w:tc>
          <w:tcPr>
            <w:tcW w:type="dxa" w:w="12240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556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2" w:after="0"/>
        <w:ind w:left="566" w:right="288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MMt. The province’s metallurgical coal output reached 52,696 t,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up 55.2%, or 18,735 t, from June.</w:t>
      </w:r>
    </w:p>
    <w:p>
      <w:pPr>
        <w:autoSpaceDN w:val="0"/>
        <w:autoSpaceDE w:val="0"/>
        <w:widowControl/>
        <w:spacing w:line="240" w:lineRule="exact" w:before="2" w:after="0"/>
        <w:ind w:left="566" w:right="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province exported 662,623 t of coal in July, down 68,140 t,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or 9.3%, from June’s total. The 609,709 t exported from Alberta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South Korea was the highest total to the Asian country in 15 years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of records. The province also exported coal to Japan and Brazil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in July.</w:t>
      </w:r>
    </w:p>
    <w:p>
      <w:pPr>
        <w:autoSpaceDN w:val="0"/>
        <w:autoSpaceDE w:val="0"/>
        <w:widowControl/>
        <w:spacing w:line="240" w:lineRule="exact" w:before="2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Platts, part of S&amp;P Global Commodity Insights, assessed FOB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US West Coast North American 5,750 Kcal/kg coal for prompt-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month delivery at $95.30/t on Sept. 16, up 15 cents from its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previous assessment.</w:t>
      </w:r>
    </w:p>
    <w:p>
      <w:pPr>
        <w:autoSpaceDN w:val="0"/>
        <w:autoSpaceDE w:val="0"/>
        <w:widowControl/>
        <w:spacing w:line="240" w:lineRule="auto" w:before="306" w:after="0"/>
        <w:ind w:left="6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1270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6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87700" cy="1778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6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89300" cy="12319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3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6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35100" cy="1016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110" w:space="0"/>
            <w:col w:w="6130" w:space="0"/>
          </w:cols>
          <w:docGrid w:linePitch="360"/>
        </w:sectPr>
      </w:pPr>
    </w:p>
    <w:p>
      <w:pPr>
        <w:autoSpaceDN w:val="0"/>
        <w:autoSpaceDE w:val="0"/>
        <w:widowControl/>
        <w:spacing w:line="284" w:lineRule="exact" w:before="0" w:after="30"/>
        <w:ind w:left="126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Weekly coal production totals </w:t>
      </w:r>
      <w:r>
        <w:rPr>
          <w:rFonts w:ascii="AkkuratLL" w:hAnsi="AkkuratLL" w:eastAsia="AkkuratLL"/>
          <w:b w:val="0"/>
          <w:i w:val="0"/>
          <w:color w:val="221F1F"/>
          <w:sz w:val="14"/>
        </w:rPr>
        <w:t>(thousand st)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2448"/>
        <w:gridCol w:w="2448"/>
        <w:gridCol w:w="2448"/>
        <w:gridCol w:w="2448"/>
        <w:gridCol w:w="2448"/>
      </w:tblGrid>
      <w:tr>
        <w:trPr>
          <w:trHeight w:hRule="exact" w:val="438"/>
        </w:trPr>
        <w:tc>
          <w:tcPr>
            <w:tcW w:type="dxa" w:w="1646"/>
            <w:vMerge w:val="restart"/>
            <w:tcBorders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8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Wyoming &amp; Montana </w:t>
            </w:r>
          </w:p>
        </w:tc>
        <w:tc>
          <w:tcPr>
            <w:tcW w:type="dxa" w:w="1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2" w:val="left"/>
                <w:tab w:pos="1044" w:val="left"/>
              </w:tabs>
              <w:autoSpaceDE w:val="0"/>
              <w:widowControl/>
              <w:spacing w:line="170" w:lineRule="exact" w:before="68" w:after="0"/>
              <w:ind w:left="200" w:right="144" w:firstLine="0"/>
              <w:jc w:val="left"/>
            </w:pPr>
            <w:r>
              <w:tab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5"/>
              </w:rPr>
              <w:t xml:space="preserve">Week ended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5"/>
              </w:rPr>
              <w:t xml:space="preserve">09/07/24 </w:t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5"/>
              </w:rPr>
              <w:t xml:space="preserve">09/07/23 </w:t>
            </w:r>
          </w:p>
        </w:tc>
        <w:tc>
          <w:tcPr>
            <w:tcW w:type="dxa" w:w="18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2" w:val="left"/>
                <w:tab w:pos="1082" w:val="left"/>
              </w:tabs>
              <w:autoSpaceDE w:val="0"/>
              <w:widowControl/>
              <w:spacing w:line="170" w:lineRule="exact" w:before="68" w:after="0"/>
              <w:ind w:left="160" w:right="144" w:firstLine="0"/>
              <w:jc w:val="left"/>
            </w:pPr>
            <w:r>
              <w:tab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5"/>
              </w:rPr>
              <w:t xml:space="preserve">Year-to-date </w:t>
            </w:r>
            <w:r>
              <w:br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5"/>
              </w:rPr>
              <w:t xml:space="preserve">09/07/24 </w:t>
            </w:r>
            <w:r>
              <w:tab/>
            </w:r>
            <w:r>
              <w:rPr>
                <w:rFonts w:ascii="AkkuratLL" w:hAnsi="AkkuratLL" w:eastAsia="AkkuratLL"/>
                <w:b w:val="0"/>
                <w:i w:val="0"/>
                <w:color w:val="221F1F"/>
                <w:sz w:val="15"/>
              </w:rPr>
              <w:t>09/07/23</w:t>
            </w:r>
          </w:p>
        </w:tc>
      </w:tr>
      <w:tr>
        <w:trPr>
          <w:trHeight w:hRule="exact" w:val="222"/>
        </w:trPr>
        <w:tc>
          <w:tcPr>
            <w:tcW w:type="dxa" w:w="2448"/>
            <w:vMerge/>
            <w:tcBorders>
              <w:bottom w:sz="2.0" w:val="single" w:color="#D1D2D4"/>
            </w:tcBorders>
          </w:tcPr>
          <w:p/>
        </w:tc>
        <w:tc>
          <w:tcPr>
            <w:tcW w:type="dxa" w:w="10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4,723 </w:t>
            </w:r>
          </w:p>
        </w:tc>
        <w:tc>
          <w:tcPr>
            <w:tcW w:type="dxa" w:w="8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5,299 </w:t>
            </w:r>
          </w:p>
        </w:tc>
        <w:tc>
          <w:tcPr>
            <w:tcW w:type="dxa" w:w="9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24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145,001 </w:t>
            </w:r>
          </w:p>
        </w:tc>
        <w:tc>
          <w:tcPr>
            <w:tcW w:type="dxa" w:w="90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182,020</w:t>
            </w:r>
          </w:p>
        </w:tc>
      </w:tr>
      <w:tr>
        <w:trPr>
          <w:trHeight w:hRule="exact" w:val="200"/>
        </w:trPr>
        <w:tc>
          <w:tcPr>
            <w:tcW w:type="dxa" w:w="16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Central Appalachia </w:t>
            </w:r>
          </w:p>
        </w:tc>
        <w:tc>
          <w:tcPr>
            <w:tcW w:type="dxa" w:w="10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1,425 </w:t>
            </w:r>
          </w:p>
        </w:tc>
        <w:tc>
          <w:tcPr>
            <w:tcW w:type="dxa" w:w="8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1,393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51,005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6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52,660</w:t>
            </w:r>
          </w:p>
        </w:tc>
      </w:tr>
      <w:tr>
        <w:trPr>
          <w:trHeight w:hRule="exact" w:val="200"/>
        </w:trPr>
        <w:tc>
          <w:tcPr>
            <w:tcW w:type="dxa" w:w="16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Northern Appalachia </w:t>
            </w:r>
          </w:p>
        </w:tc>
        <w:tc>
          <w:tcPr>
            <w:tcW w:type="dxa" w:w="10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1,570 </w:t>
            </w:r>
          </w:p>
        </w:tc>
        <w:tc>
          <w:tcPr>
            <w:tcW w:type="dxa" w:w="8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1,598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54,542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6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60,953</w:t>
            </w:r>
          </w:p>
        </w:tc>
      </w:tr>
      <w:tr>
        <w:trPr>
          <w:trHeight w:hRule="exact" w:val="200"/>
        </w:trPr>
        <w:tc>
          <w:tcPr>
            <w:tcW w:type="dxa" w:w="16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Illinois Basin </w:t>
            </w:r>
          </w:p>
        </w:tc>
        <w:tc>
          <w:tcPr>
            <w:tcW w:type="dxa" w:w="10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1,346 </w:t>
            </w:r>
          </w:p>
        </w:tc>
        <w:tc>
          <w:tcPr>
            <w:tcW w:type="dxa" w:w="8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1,378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48,673 </w:t>
            </w:r>
          </w:p>
        </w:tc>
        <w:tc>
          <w:tcPr>
            <w:tcW w:type="dxa" w:w="9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6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54,172</w:t>
            </w:r>
          </w:p>
        </w:tc>
      </w:tr>
      <w:tr>
        <w:trPr>
          <w:trHeight w:hRule="exact" w:val="200"/>
        </w:trPr>
        <w:tc>
          <w:tcPr>
            <w:tcW w:type="dxa" w:w="16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US Total </w:t>
            </w:r>
          </w:p>
        </w:tc>
        <w:tc>
          <w:tcPr>
            <w:tcW w:type="dxa" w:w="10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15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10,402 </w:t>
            </w:r>
          </w:p>
        </w:tc>
        <w:tc>
          <w:tcPr>
            <w:tcW w:type="dxa" w:w="84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11,075 </w:t>
            </w:r>
          </w:p>
        </w:tc>
        <w:tc>
          <w:tcPr>
            <w:tcW w:type="dxa" w:w="98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24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345,361 </w:t>
            </w:r>
          </w:p>
        </w:tc>
        <w:tc>
          <w:tcPr>
            <w:tcW w:type="dxa" w:w="904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399,587</w:t>
            </w:r>
          </w:p>
        </w:tc>
      </w:tr>
    </w:tbl>
    <w:p>
      <w:pPr>
        <w:autoSpaceDN w:val="0"/>
        <w:autoSpaceDE w:val="0"/>
        <w:widowControl/>
        <w:spacing w:line="174" w:lineRule="exact" w:before="52" w:after="0"/>
        <w:ind w:left="12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Source: EIA</w:t>
      </w:r>
    </w:p>
    <w:p>
      <w:pPr>
        <w:autoSpaceDN w:val="0"/>
        <w:autoSpaceDE w:val="0"/>
        <w:widowControl/>
        <w:spacing w:line="200" w:lineRule="exact" w:before="244" w:after="12"/>
        <w:ind w:left="126" w:right="864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Weekly price survey, traditional physical market, week </w:t>
      </w:r>
      <w:r>
        <w:rPr>
          <w:rFonts w:ascii="AkkuratLL" w:hAnsi="AkkuratLL" w:eastAsia="AkkuratLL"/>
          <w:b/>
          <w:i w:val="0"/>
          <w:color w:val="221F1F"/>
          <w:sz w:val="20"/>
        </w:rPr>
        <w:t>ending Sep 13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176"/>
        </w:trPr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7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Origin/Product 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66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Btu/lb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SO2 lb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7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Transport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144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Prompt 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60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Change</w:t>
            </w:r>
          </w:p>
        </w:tc>
      </w:tr>
      <w:tr>
        <w:trPr>
          <w:trHeight w:hRule="exact" w:val="212"/>
        </w:trPr>
        <w:tc>
          <w:tcPr>
            <w:tcW w:type="dxa" w:w="2040"/>
            <w:vMerge/>
            <w:tcBorders/>
          </w:tcPr>
          <w:p/>
        </w:tc>
        <w:tc>
          <w:tcPr>
            <w:tcW w:type="dxa" w:w="2040"/>
            <w:vMerge/>
            <w:tcBorders/>
          </w:tcPr>
          <w:p/>
        </w:tc>
        <w:tc>
          <w:tcPr>
            <w:tcW w:type="dxa" w:w="2040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7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 xml:space="preserve">mode </w:t>
            </w:r>
          </w:p>
        </w:tc>
        <w:tc>
          <w:tcPr>
            <w:tcW w:type="dxa" w:w="1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35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3"/>
              </w:rPr>
              <w:t>quarter ($/st)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6"/>
        <w:ind w:left="12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Northern Appalachia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194"/>
        </w:trPr>
        <w:tc>
          <w:tcPr>
            <w:tcW w:type="dxa" w:w="142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Pittsburgh Seam </w:t>
            </w:r>
          </w:p>
        </w:tc>
        <w:tc>
          <w:tcPr>
            <w:tcW w:type="dxa" w:w="8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13,000 </w:t>
            </w:r>
          </w:p>
        </w:tc>
        <w:tc>
          <w:tcPr>
            <w:tcW w:type="dxa" w:w="4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8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 </w:t>
            </w:r>
          </w:p>
        </w:tc>
        <w:tc>
          <w:tcPr>
            <w:tcW w:type="dxa" w:w="70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15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Rail </w:t>
            </w:r>
          </w:p>
        </w:tc>
        <w:tc>
          <w:tcPr>
            <w:tcW w:type="dxa" w:w="7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CNDQ001</w:t>
            </w:r>
          </w:p>
        </w:tc>
        <w:tc>
          <w:tcPr>
            <w:tcW w:type="dxa" w:w="6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49.85 </w:t>
            </w:r>
          </w:p>
        </w:tc>
        <w:tc>
          <w:tcPr>
            <w:tcW w:type="dxa" w:w="60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-0.15</w:t>
            </w:r>
          </w:p>
        </w:tc>
      </w:tr>
      <w:tr>
        <w:trPr>
          <w:trHeight w:hRule="exact" w:val="200"/>
        </w:trPr>
        <w:tc>
          <w:tcPr>
            <w:tcW w:type="dxa" w:w="142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Upper Ohio River </w:t>
            </w:r>
          </w:p>
        </w:tc>
        <w:tc>
          <w:tcPr>
            <w:tcW w:type="dxa" w:w="8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12,500 </w:t>
            </w:r>
          </w:p>
        </w:tc>
        <w:tc>
          <w:tcPr>
            <w:tcW w:type="dxa" w:w="4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6+ </w:t>
            </w:r>
          </w:p>
        </w:tc>
        <w:tc>
          <w:tcPr>
            <w:tcW w:type="dxa" w:w="7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Barge </w:t>
            </w:r>
          </w:p>
        </w:tc>
        <w:tc>
          <w:tcPr>
            <w:tcW w:type="dxa" w:w="7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CNEQ001</w:t>
            </w:r>
          </w:p>
        </w:tc>
        <w:tc>
          <w:tcPr>
            <w:tcW w:type="dxa" w:w="6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46.00 </w:t>
            </w:r>
          </w:p>
        </w:tc>
        <w:tc>
          <w:tcPr>
            <w:tcW w:type="dxa" w:w="60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157527"/>
                <w:sz w:val="15"/>
              </w:rPr>
              <w:t>+0.10</w:t>
            </w:r>
          </w:p>
        </w:tc>
      </w:tr>
    </w:tbl>
    <w:p>
      <w:pPr>
        <w:autoSpaceDN w:val="0"/>
        <w:autoSpaceDE w:val="0"/>
        <w:widowControl/>
        <w:spacing w:line="182" w:lineRule="exact" w:before="42" w:after="4"/>
        <w:ind w:left="12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Central Appalachia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194"/>
        </w:trPr>
        <w:tc>
          <w:tcPr>
            <w:tcW w:type="dxa" w:w="154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CAPP barge physical </w:t>
            </w:r>
          </w:p>
        </w:tc>
        <w:tc>
          <w:tcPr>
            <w:tcW w:type="dxa" w:w="7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5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12,000 </w:t>
            </w:r>
          </w:p>
        </w:tc>
        <w:tc>
          <w:tcPr>
            <w:tcW w:type="dxa" w:w="4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1.67 </w:t>
            </w:r>
          </w:p>
        </w:tc>
        <w:tc>
          <w:tcPr>
            <w:tcW w:type="dxa" w:w="6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Barge </w:t>
            </w:r>
          </w:p>
        </w:tc>
        <w:tc>
          <w:tcPr>
            <w:tcW w:type="dxa" w:w="7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CNNQ001</w:t>
            </w:r>
          </w:p>
        </w:tc>
        <w:tc>
          <w:tcPr>
            <w:tcW w:type="dxa" w:w="70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71.25 </w:t>
            </w:r>
          </w:p>
        </w:tc>
        <w:tc>
          <w:tcPr>
            <w:tcW w:type="dxa" w:w="58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-1.00</w:t>
            </w:r>
          </w:p>
        </w:tc>
      </w:tr>
      <w:tr>
        <w:trPr>
          <w:trHeight w:hRule="exact" w:val="200"/>
        </w:trPr>
        <w:tc>
          <w:tcPr>
            <w:tcW w:type="dxa" w:w="2266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CAPP rail (CSX) physical 12,500 </w:t>
            </w:r>
          </w:p>
        </w:tc>
        <w:tc>
          <w:tcPr>
            <w:tcW w:type="dxa" w:w="4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1.6 </w:t>
            </w:r>
          </w:p>
        </w:tc>
        <w:tc>
          <w:tcPr>
            <w:tcW w:type="dxa" w:w="6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9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CSX </w:t>
            </w:r>
          </w:p>
        </w:tc>
        <w:tc>
          <w:tcPr>
            <w:tcW w:type="dxa" w:w="7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CAEQ001</w:t>
            </w:r>
          </w:p>
        </w:tc>
        <w:tc>
          <w:tcPr>
            <w:tcW w:type="dxa" w:w="7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73.50 </w:t>
            </w:r>
          </w:p>
        </w:tc>
        <w:tc>
          <w:tcPr>
            <w:tcW w:type="dxa" w:w="58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-0.50</w:t>
            </w:r>
          </w:p>
        </w:tc>
      </w:tr>
      <w:tr>
        <w:trPr>
          <w:trHeight w:hRule="exact" w:val="200"/>
        </w:trPr>
        <w:tc>
          <w:tcPr>
            <w:tcW w:type="dxa" w:w="154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Thacker/Kenova </w:t>
            </w:r>
          </w:p>
        </w:tc>
        <w:tc>
          <w:tcPr>
            <w:tcW w:type="dxa" w:w="7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15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12,500 </w:t>
            </w:r>
          </w:p>
        </w:tc>
        <w:tc>
          <w:tcPr>
            <w:tcW w:type="dxa" w:w="4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1.6 </w:t>
            </w:r>
          </w:p>
        </w:tc>
        <w:tc>
          <w:tcPr>
            <w:tcW w:type="dxa" w:w="6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9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NS </w:t>
            </w:r>
          </w:p>
        </w:tc>
        <w:tc>
          <w:tcPr>
            <w:tcW w:type="dxa" w:w="7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CAGQ001</w:t>
            </w:r>
          </w:p>
        </w:tc>
        <w:tc>
          <w:tcPr>
            <w:tcW w:type="dxa" w:w="7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74.75 </w:t>
            </w:r>
          </w:p>
        </w:tc>
        <w:tc>
          <w:tcPr>
            <w:tcW w:type="dxa" w:w="58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-0.50</w:t>
            </w:r>
          </w:p>
        </w:tc>
      </w:tr>
    </w:tbl>
    <w:p>
      <w:pPr>
        <w:autoSpaceDN w:val="0"/>
        <w:autoSpaceDE w:val="0"/>
        <w:widowControl/>
        <w:spacing w:line="180" w:lineRule="exact" w:before="44" w:after="4"/>
        <w:ind w:left="12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Illinois Basin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196"/>
        </w:trPr>
        <w:tc>
          <w:tcPr>
            <w:tcW w:type="dxa" w:w="226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11,800 </w:t>
            </w:r>
          </w:p>
        </w:tc>
        <w:tc>
          <w:tcPr>
            <w:tcW w:type="dxa" w:w="3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8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5 </w:t>
            </w:r>
          </w:p>
        </w:tc>
        <w:tc>
          <w:tcPr>
            <w:tcW w:type="dxa" w:w="7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Rail </w:t>
            </w:r>
          </w:p>
        </w:tc>
        <w:tc>
          <w:tcPr>
            <w:tcW w:type="dxa" w:w="7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CIAQ001</w:t>
            </w:r>
          </w:p>
        </w:tc>
        <w:tc>
          <w:tcPr>
            <w:tcW w:type="dxa" w:w="70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40.00 </w:t>
            </w:r>
          </w:p>
        </w:tc>
        <w:tc>
          <w:tcPr>
            <w:tcW w:type="dxa" w:w="58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-0.65</w:t>
            </w:r>
          </w:p>
        </w:tc>
      </w:tr>
      <w:tr>
        <w:trPr>
          <w:trHeight w:hRule="exact" w:val="200"/>
        </w:trPr>
        <w:tc>
          <w:tcPr>
            <w:tcW w:type="dxa" w:w="2646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174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11,800* 5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Barge </w:t>
            </w:r>
          </w:p>
        </w:tc>
        <w:tc>
          <w:tcPr>
            <w:tcW w:type="dxa" w:w="7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CTPQ001</w:t>
            </w:r>
          </w:p>
        </w:tc>
        <w:tc>
          <w:tcPr>
            <w:tcW w:type="dxa" w:w="7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42.00 </w:t>
            </w:r>
          </w:p>
        </w:tc>
        <w:tc>
          <w:tcPr>
            <w:tcW w:type="dxa" w:w="58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-0.65</w:t>
            </w:r>
          </w:p>
        </w:tc>
      </w:tr>
      <w:tr>
        <w:trPr>
          <w:trHeight w:hRule="exact" w:val="200"/>
        </w:trPr>
        <w:tc>
          <w:tcPr>
            <w:tcW w:type="dxa" w:w="2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11,500 </w:t>
            </w:r>
          </w:p>
        </w:tc>
        <w:tc>
          <w:tcPr>
            <w:tcW w:type="dxa" w:w="3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8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5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Barge </w:t>
            </w:r>
          </w:p>
        </w:tc>
        <w:tc>
          <w:tcPr>
            <w:tcW w:type="dxa" w:w="7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CIEQ001</w:t>
            </w:r>
          </w:p>
        </w:tc>
        <w:tc>
          <w:tcPr>
            <w:tcW w:type="dxa" w:w="7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43.50 </w:t>
            </w:r>
          </w:p>
        </w:tc>
        <w:tc>
          <w:tcPr>
            <w:tcW w:type="dxa" w:w="58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-0.65</w:t>
            </w:r>
          </w:p>
        </w:tc>
      </w:tr>
      <w:tr>
        <w:trPr>
          <w:trHeight w:hRule="exact" w:val="200"/>
        </w:trPr>
        <w:tc>
          <w:tcPr>
            <w:tcW w:type="dxa" w:w="22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11,000 </w:t>
            </w:r>
          </w:p>
        </w:tc>
        <w:tc>
          <w:tcPr>
            <w:tcW w:type="dxa" w:w="3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88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5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Barge </w:t>
            </w:r>
          </w:p>
        </w:tc>
        <w:tc>
          <w:tcPr>
            <w:tcW w:type="dxa" w:w="7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CICQ001</w:t>
            </w:r>
          </w:p>
        </w:tc>
        <w:tc>
          <w:tcPr>
            <w:tcW w:type="dxa" w:w="7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38.00 </w:t>
            </w:r>
          </w:p>
        </w:tc>
        <w:tc>
          <w:tcPr>
            <w:tcW w:type="dxa" w:w="58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B10022"/>
                <w:sz w:val="15"/>
              </w:rPr>
              <w:t>-0.65</w:t>
            </w:r>
          </w:p>
        </w:tc>
      </w:tr>
    </w:tbl>
    <w:p>
      <w:pPr>
        <w:autoSpaceDN w:val="0"/>
        <w:autoSpaceDE w:val="0"/>
        <w:widowControl/>
        <w:spacing w:line="180" w:lineRule="exact" w:before="42" w:after="4"/>
        <w:ind w:left="12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Powder River Basin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77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178"/>
        </w:trPr>
        <w:tc>
          <w:tcPr>
            <w:tcW w:type="dxa" w:w="222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9,400 </w:t>
            </w:r>
          </w:p>
        </w:tc>
        <w:tc>
          <w:tcPr>
            <w:tcW w:type="dxa" w:w="4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0.8 </w:t>
            </w:r>
          </w:p>
        </w:tc>
        <w:tc>
          <w:tcPr>
            <w:tcW w:type="dxa" w:w="6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Rail </w:t>
            </w:r>
          </w:p>
        </w:tc>
        <w:tc>
          <w:tcPr>
            <w:tcW w:type="dxa" w:w="7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102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CRPQ001</w:t>
            </w:r>
          </w:p>
        </w:tc>
        <w:tc>
          <w:tcPr>
            <w:tcW w:type="dxa" w:w="7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14.95 </w:t>
            </w:r>
          </w:p>
        </w:tc>
        <w:tc>
          <w:tcPr>
            <w:tcW w:type="dxa" w:w="54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0.00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110" w:space="0"/>
            <w:col w:w="61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80.0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184"/>
        </w:trPr>
        <w:tc>
          <w:tcPr>
            <w:tcW w:type="dxa" w:w="385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8,800 </w:t>
            </w:r>
          </w:p>
        </w:tc>
        <w:tc>
          <w:tcPr>
            <w:tcW w:type="dxa" w:w="4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0.8 </w:t>
            </w:r>
          </w:p>
        </w:tc>
        <w:tc>
          <w:tcPr>
            <w:tcW w:type="dxa" w:w="62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Rail </w:t>
            </w:r>
          </w:p>
        </w:tc>
        <w:tc>
          <w:tcPr>
            <w:tcW w:type="dxa" w:w="78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" w:after="0"/>
              <w:ind w:left="0" w:right="10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CRAQ001</w:t>
            </w:r>
          </w:p>
        </w:tc>
        <w:tc>
          <w:tcPr>
            <w:tcW w:type="dxa" w:w="740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13.95 </w:t>
            </w:r>
          </w:p>
        </w:tc>
        <w:tc>
          <w:tcPr>
            <w:tcW w:type="dxa" w:w="54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0.00</w:t>
            </w:r>
          </w:p>
        </w:tc>
      </w:tr>
      <w:tr>
        <w:trPr>
          <w:trHeight w:hRule="exact" w:val="216"/>
        </w:trPr>
        <w:tc>
          <w:tcPr>
            <w:tcW w:type="dxa" w:w="3854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282" w:firstLine="0"/>
              <w:jc w:val="right"/>
            </w:pPr>
            <w:r>
              <w:rPr>
                <w:rFonts w:ascii="AkkuratLL" w:hAnsi="AkkuratLL" w:eastAsia="AkkuratLL"/>
                <w:b w:val="0"/>
                <w:i/>
                <w:color w:val="221F1F"/>
                <w:sz w:val="18"/>
              </w:rPr>
              <w:t xml:space="preserve">— </w:t>
            </w:r>
            <w:r>
              <w:rPr>
                <w:rFonts w:ascii="AkkuratLL" w:hAnsi="AkkuratLL" w:eastAsia="AkkuratLL"/>
                <w:b w:val="0"/>
                <w:i/>
                <w:color w:val="221F1F"/>
                <w:sz w:val="18"/>
              </w:rPr>
              <w:hyperlink r:id="rId75" w:history="1">
                <w:r>
                  <w:rPr>
                    <w:rStyle w:val="Hyperlink"/>
                  </w:rPr>
                  <w:t>Michael Fox</w:t>
                </w:r>
              </w:hyperlink>
            </w:r>
          </w:p>
        </w:tc>
        <w:tc>
          <w:tcPr>
            <w:tcW w:type="dxa" w:w="2226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10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8,400 </w:t>
            </w:r>
          </w:p>
        </w:tc>
        <w:tc>
          <w:tcPr>
            <w:tcW w:type="dxa" w:w="48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0.8 </w:t>
            </w:r>
          </w:p>
        </w:tc>
        <w:tc>
          <w:tcPr>
            <w:tcW w:type="dxa" w:w="62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Rail </w:t>
            </w:r>
          </w:p>
        </w:tc>
        <w:tc>
          <w:tcPr>
            <w:tcW w:type="dxa" w:w="78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104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CRBQ001</w:t>
            </w:r>
          </w:p>
        </w:tc>
        <w:tc>
          <w:tcPr>
            <w:tcW w:type="dxa" w:w="740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11.40 </w:t>
            </w:r>
          </w:p>
        </w:tc>
        <w:tc>
          <w:tcPr>
            <w:tcW w:type="dxa" w:w="544"/>
            <w:tcBorders>
              <w:top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0.00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72" w:after="0"/>
        <w:ind w:left="566" w:right="1296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Colombia seaborne coal exports </w:t>
      </w:r>
      <w:r>
        <w:rPr>
          <w:rFonts w:ascii="AkkuratLL" w:hAnsi="AkkuratLL" w:eastAsia="AkkuratLL"/>
          <w:b/>
          <w:i w:val="0"/>
          <w:color w:val="221F1F"/>
          <w:sz w:val="22"/>
        </w:rPr>
        <w:t>remain flat on week at 1.1 MMt: CAS</w:t>
      </w:r>
    </w:p>
    <w:p>
      <w:pPr>
        <w:autoSpaceDN w:val="0"/>
        <w:autoSpaceDE w:val="0"/>
        <w:widowControl/>
        <w:spacing w:line="242" w:lineRule="exact" w:before="100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Thermal coal exports fall 0.3% on week to 945,766 t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5646" w:space="0"/>
            <w:col w:w="659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4"/>
        <w:ind w:left="5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>Rocky Mountains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7.9999999999995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196"/>
        </w:trPr>
        <w:tc>
          <w:tcPr>
            <w:tcW w:type="dxa" w:w="1166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Colorado </w:t>
            </w:r>
          </w:p>
        </w:tc>
        <w:tc>
          <w:tcPr>
            <w:tcW w:type="dxa" w:w="110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11,300 </w:t>
            </w:r>
          </w:p>
        </w:tc>
        <w:tc>
          <w:tcPr>
            <w:tcW w:type="dxa" w:w="4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0.8 </w:t>
            </w:r>
          </w:p>
        </w:tc>
        <w:tc>
          <w:tcPr>
            <w:tcW w:type="dxa" w:w="62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Rail </w:t>
            </w:r>
          </w:p>
        </w:tc>
        <w:tc>
          <w:tcPr>
            <w:tcW w:type="dxa" w:w="78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10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CURQ001</w:t>
            </w:r>
          </w:p>
        </w:tc>
        <w:tc>
          <w:tcPr>
            <w:tcW w:type="dxa" w:w="740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78.50 </w:t>
            </w:r>
          </w:p>
        </w:tc>
        <w:tc>
          <w:tcPr>
            <w:tcW w:type="dxa" w:w="544"/>
            <w:tcBorders>
              <w:top w:sz="2.0" w:val="single" w:color="#221F1F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0.00</w:t>
            </w:r>
          </w:p>
        </w:tc>
      </w:tr>
      <w:tr>
        <w:trPr>
          <w:trHeight w:hRule="exact" w:val="200"/>
        </w:trPr>
        <w:tc>
          <w:tcPr>
            <w:tcW w:type="dxa" w:w="116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Utah </w:t>
            </w:r>
          </w:p>
        </w:tc>
        <w:tc>
          <w:tcPr>
            <w:tcW w:type="dxa" w:w="110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62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11,500 </w:t>
            </w:r>
          </w:p>
        </w:tc>
        <w:tc>
          <w:tcPr>
            <w:tcW w:type="dxa" w:w="4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0.8 </w:t>
            </w:r>
          </w:p>
        </w:tc>
        <w:tc>
          <w:tcPr>
            <w:tcW w:type="dxa" w:w="62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Rail </w:t>
            </w:r>
          </w:p>
        </w:tc>
        <w:tc>
          <w:tcPr>
            <w:tcW w:type="dxa" w:w="7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100" w:firstLine="0"/>
              <w:jc w:val="right"/>
            </w:pPr>
            <w:r>
              <w:rPr>
                <w:rFonts w:ascii="AkkuratMonoLLTT" w:hAnsi="AkkuratMonoLLTT" w:eastAsia="AkkuratMonoLLTT"/>
                <w:b w:val="0"/>
                <w:i w:val="0"/>
                <w:color w:val="221F1F"/>
                <w:sz w:val="11"/>
              </w:rPr>
              <w:t>CUDQ001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 xml:space="preserve">80.50 </w:t>
            </w:r>
          </w:p>
        </w:tc>
        <w:tc>
          <w:tcPr>
            <w:tcW w:type="dxa" w:w="5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48" w:firstLine="0"/>
              <w:jc w:val="righ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5"/>
              </w:rPr>
              <w:t>0.00</w:t>
            </w:r>
          </w:p>
        </w:tc>
      </w:tr>
    </w:tbl>
    <w:p>
      <w:pPr>
        <w:autoSpaceDN w:val="0"/>
        <w:autoSpaceDE w:val="0"/>
        <w:widowControl/>
        <w:spacing w:line="262" w:lineRule="exact" w:before="0" w:after="24"/>
        <w:ind w:left="590" w:right="2304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3"/>
        </w:rPr>
        <w:t xml:space="preserve">*High chlorine (max 0.35%) </w:t>
      </w:r>
      <w:r>
        <w:br/>
      </w:r>
      <w:r>
        <w:rPr>
          <w:rFonts w:ascii="AkkuratLL" w:hAnsi="AkkuratLL" w:eastAsia="AkkuratLL"/>
          <w:b/>
          <w:i w:val="0"/>
          <w:color w:val="221F1F"/>
          <w:sz w:val="20"/>
        </w:rPr>
        <w:t>Physical bids, offers and trades, Sep 16</w:t>
      </w: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5646" w:space="0"/>
            <w:col w:w="659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530"/>
        <w:gridCol w:w="1530"/>
        <w:gridCol w:w="1530"/>
        <w:gridCol w:w="1530"/>
        <w:gridCol w:w="1530"/>
        <w:gridCol w:w="1530"/>
        <w:gridCol w:w="1530"/>
        <w:gridCol w:w="1530"/>
      </w:tblGrid>
      <w:tr>
        <w:trPr>
          <w:trHeight w:hRule="exact" w:val="239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8"/>
              </w:rPr>
              <w:t xml:space="preserve">Panama is primary thermal coal destination, to receive 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" w:after="0"/>
              <w:ind w:left="0" w:right="88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Type 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Product 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Term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" w:after="0"/>
              <w:ind w:left="0" w:right="50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Year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4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Price 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" w:after="0"/>
              <w:ind w:left="16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Vol/m Notes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4" w:after="0"/>
              <w:ind w:left="0" w:right="324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Tons</w:t>
            </w:r>
          </w:p>
        </w:tc>
      </w:tr>
      <w:tr>
        <w:trPr>
          <w:trHeight w:hRule="exact" w:val="223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22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8"/>
              </w:rPr>
              <w:t>181,342 t</w:t>
            </w:r>
          </w:p>
        </w:tc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 xml:space="preserve">($/st) </w:t>
            </w:r>
          </w:p>
        </w:tc>
        <w:tc>
          <w:tcPr>
            <w:tcW w:type="dxa" w:w="1530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324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(‘000)</w:t>
            </w:r>
          </w:p>
        </w:tc>
      </w:tr>
    </w:tbl>
    <w:p>
      <w:pPr>
        <w:autoSpaceDN w:val="0"/>
        <w:autoSpaceDE w:val="0"/>
        <w:widowControl/>
        <w:spacing w:line="14" w:lineRule="exact" w:before="0" w:after="68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FOB Colombia 6,000 kcal/kg NAR coal price rises $1 to $85/t</w:t>
      </w:r>
    </w:p>
    <w:p>
      <w:pPr>
        <w:autoSpaceDN w:val="0"/>
        <w:autoSpaceDE w:val="0"/>
        <w:widowControl/>
        <w:spacing w:line="240" w:lineRule="exact" w:before="224" w:after="0"/>
        <w:ind w:left="568" w:right="288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Colombia seaborne thermal and metallurgical coal exports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were flat on the week at 1.1 million metric tons in the week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hyperlink r:id="rId76" w:history="1">
          <w:r>
            <w:rPr>
              <w:rStyle w:val="Hyperlink"/>
            </w:rPr>
            <w:t>ended Sept. 15, acco</w:t>
          </w:r>
        </w:hyperlink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rding to Sept. 16 data from S&amp;P Global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hyperlink r:id="rId76" w:history="1">
          <w:r>
            <w:rPr>
              <w:rStyle w:val="Hyperlink"/>
            </w:rPr>
            <w:t>Commodities at Sea</w:t>
          </w:r>
        </w:hyperlink>
      </w:r>
      <w:r>
        <w:rPr>
          <w:rFonts w:ascii="AkkuratLL" w:hAnsi="AkkuratLL" w:eastAsia="AkkuratLL"/>
          <w:b w:val="0"/>
          <w:i w:val="0"/>
          <w:color w:val="221F1F"/>
          <w:sz w:val="18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568" w:right="288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hyperlink r:id="rId76" w:history="1">
          <w:r>
            <w:rPr>
              <w:rStyle w:val="Hyperlink"/>
            </w:rPr>
            <w:t>Seaborne therma</w:t>
          </w:r>
        </w:hyperlink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 coal exports ticked 0.3% lower on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week to 945,766 t. Metallurgical coal exports declined 18.8%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140,031 t.</w:t>
      </w:r>
    </w:p>
    <w:p>
      <w:pPr>
        <w:autoSpaceDN w:val="0"/>
        <w:autoSpaceDE w:val="0"/>
        <w:widowControl/>
        <w:spacing w:line="240" w:lineRule="exact" w:before="2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Platts, part of S&amp;P Global Commodity Insights, assessed FOB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Colombia 6,000 kcal/kg NAR 0.8%S coal up $1 on the session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at $85/t on Sept. 13. The Colombia thermal coal price has been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rangebound between $84/t and $85/t since the Aug. 16, 2024,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session.</w:t>
      </w:r>
    </w:p>
    <w:p>
      <w:pPr>
        <w:autoSpaceDN w:val="0"/>
        <w:autoSpaceDE w:val="0"/>
        <w:widowControl/>
        <w:spacing w:line="240" w:lineRule="exact" w:before="2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Panama was the primary destination for Colombia seaborne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thermal coal exports, due to receive 181,342 t exported in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week ended Sept. 16, followed by Brazil with 168,431 t and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Netherlands with 166,000 t. The remaining destinations were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South Korea with 154,161 t, Poland with 90,985 t, Chile with 80,104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t, the Dominican Republic with 66,628 t and Puerto Rico with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38,115 t.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080" w:space="0"/>
            <w:col w:w="6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3.99999999999977" w:type="dxa"/>
      </w:tblPr>
      <w:tblGrid>
        <w:gridCol w:w="2448"/>
        <w:gridCol w:w="2448"/>
        <w:gridCol w:w="2448"/>
        <w:gridCol w:w="2448"/>
        <w:gridCol w:w="2448"/>
      </w:tblGrid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CSX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72.5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8800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14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8400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2024 11.55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IB 11500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2024 39.75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CSX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72.5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8800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14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8400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2024 11.55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IB 11500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2024 39.75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CSX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74.5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8800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13.9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8400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2024 11.25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IB 11500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2024 41.25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CSX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74.5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8800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13.9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8400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2024 11.25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IB 11500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2024 41.25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CSX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74.5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8800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13.9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8400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2024 11.25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IB 11500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October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2024 41.25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CSX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74.5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8800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5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2024 </w:t>
            </w:r>
          </w:p>
        </w:tc>
        <w:tc>
          <w:tcPr>
            <w:tcW w:type="dxa" w:w="2844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100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13.9</w:t>
            </w:r>
          </w:p>
        </w:tc>
      </w:tr>
      <w:tr>
        <w:trPr>
          <w:trHeight w:hRule="exact" w:val="18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PRB 8400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2024 11.25</w:t>
            </w:r>
          </w:p>
        </w:tc>
      </w:tr>
      <w:tr>
        <w:trPr>
          <w:trHeight w:hRule="exact" w:val="160"/>
        </w:trPr>
        <w:tc>
          <w:tcPr>
            <w:tcW w:type="dxa" w:w="286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 </w:t>
            </w:r>
          </w:p>
        </w:tc>
        <w:tc>
          <w:tcPr>
            <w:tcW w:type="dxa" w:w="98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3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IB 11500 </w:t>
            </w:r>
          </w:p>
        </w:tc>
        <w:tc>
          <w:tcPr>
            <w:tcW w:type="dxa" w:w="740"/>
            <w:tcBorders>
              <w:top w:sz="2.0" w:val="single" w:color="#D1D2D4"/>
              <w:bottom w:sz="2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 xml:space="preserve">Q4 </w:t>
            </w:r>
          </w:p>
        </w:tc>
        <w:tc>
          <w:tcPr>
            <w:tcW w:type="dxa" w:w="3384"/>
            <w:gridSpan w:val="2"/>
            <w:tcBorders>
              <w:top w:sz="2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116" w:right="0" w:firstLine="0"/>
              <w:jc w:val="left"/>
            </w:pPr>
            <w:r>
              <w:rPr>
                <w:rFonts w:ascii="AkkuratPro" w:hAnsi="AkkuratPro" w:eastAsia="AkkuratPro"/>
                <w:b w:val="0"/>
                <w:i w:val="0"/>
                <w:color w:val="221F1F"/>
                <w:sz w:val="14"/>
              </w:rPr>
              <w:t>2024 41.25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28"/>
        <w:ind w:left="0" w:right="0"/>
      </w:pP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080" w:space="0"/>
            <w:col w:w="6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430"/>
        </w:trPr>
        <w:tc>
          <w:tcPr>
            <w:tcW w:type="dxa" w:w="3666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8574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27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10644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</w:tr>
      <w:tr>
        <w:trPr>
          <w:trHeight w:hRule="exact" w:val="122"/>
        </w:trPr>
        <w:tc>
          <w:tcPr>
            <w:tcW w:type="dxa" w:w="12240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556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2" w:after="0"/>
        <w:ind w:left="566" w:right="28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top thermal coal loading port in Colombia in the week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ended Sept. 15 was Puerto Drummond at 712,362 t, followed by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Puerto Bolivar at 154,161 t and Puerto Nuevo, 79,243 t.</w:t>
      </w:r>
    </w:p>
    <w:p>
      <w:pPr>
        <w:autoSpaceDN w:val="0"/>
        <w:autoSpaceDE w:val="0"/>
        <w:widowControl/>
        <w:spacing w:line="240" w:lineRule="exact" w:before="2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Three companies shipped thermal coal in the latest reported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week, according to CAS data — Drummond shipped 712,362 t,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Cerrejon shipped 154,161 t and Prodeco Group shipped 79,243 t.</w:t>
      </w:r>
    </w:p>
    <w:p>
      <w:pPr>
        <w:autoSpaceDN w:val="0"/>
        <w:autoSpaceDE w:val="0"/>
        <w:widowControl/>
        <w:spacing w:line="240" w:lineRule="exact" w:before="2" w:after="0"/>
        <w:ind w:left="566" w:right="28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Colombia seaborne met coal exports were bound for four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destinations. Poland was due to receive 54,506 t loaded from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Puerto Brisa, Denmark was due to receive 37,339 t loaded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from Mamonal, Brazil was due to receive 27,126 t loaded from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Barranquilla and China was due to receive 21,060 t loaded from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Buenaventura.</w:t>
      </w:r>
    </w:p>
    <w:p>
      <w:pPr>
        <w:autoSpaceDN w:val="0"/>
        <w:autoSpaceDE w:val="0"/>
        <w:widowControl/>
        <w:spacing w:line="244" w:lineRule="exact" w:before="0" w:after="0"/>
        <w:ind w:left="0" w:right="160" w:firstLine="0"/>
        <w:jc w:val="right"/>
      </w:pP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77" w:history="1">
          <w:r>
            <w:rPr>
              <w:rStyle w:val="Hyperlink"/>
            </w:rPr>
            <w:t>Morgan Snook</w:t>
          </w:r>
        </w:hyperlink>
      </w:r>
    </w:p>
    <w:p>
      <w:pPr>
        <w:autoSpaceDN w:val="0"/>
        <w:autoSpaceDE w:val="0"/>
        <w:widowControl/>
        <w:spacing w:line="240" w:lineRule="exact" w:before="252" w:after="0"/>
        <w:ind w:left="566" w:right="144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SOUTH KOREA DATA: August coal imports fall 5.5% </w:t>
      </w:r>
      <w:r>
        <w:rPr>
          <w:rFonts w:ascii="AkkuratLL" w:hAnsi="AkkuratLL" w:eastAsia="AkkuratLL"/>
          <w:b/>
          <w:i w:val="0"/>
          <w:color w:val="221F1F"/>
          <w:sz w:val="22"/>
        </w:rPr>
        <w:t>on year on decline from small importers</w:t>
      </w:r>
    </w:p>
    <w:p>
      <w:pPr>
        <w:autoSpaceDN w:val="0"/>
        <w:autoSpaceDE w:val="0"/>
        <w:widowControl/>
        <w:spacing w:line="242" w:lineRule="exact" w:before="100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Australia replaces Indonesia as top supplier</w:t>
      </w:r>
    </w:p>
    <w:p>
      <w:pPr>
        <w:autoSpaceDN w:val="0"/>
        <w:autoSpaceDE w:val="0"/>
        <w:widowControl/>
        <w:spacing w:line="242" w:lineRule="exact" w:before="68" w:after="0"/>
        <w:ind w:left="82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Indonesia, Russia coal exports to South Korea rise</w:t>
      </w:r>
    </w:p>
    <w:p>
      <w:pPr>
        <w:autoSpaceDN w:val="0"/>
        <w:autoSpaceDE w:val="0"/>
        <w:widowControl/>
        <w:spacing w:line="240" w:lineRule="exact" w:before="296" w:after="0"/>
        <w:ind w:left="568" w:right="0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South Korean imports fell 5.5% on the year to 11.11 million mt 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August due to a sharp decline in shipments from small importers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and Australia, despite lower average landed prices, according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customs data seen Sept. 16.</w:t>
      </w:r>
    </w:p>
    <w:p>
      <w:pPr>
        <w:autoSpaceDN w:val="0"/>
        <w:autoSpaceDE w:val="0"/>
        <w:widowControl/>
        <w:spacing w:line="240" w:lineRule="exact" w:before="2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average landed price of total imports fell to $136.78/mt 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August, from $145.95/mt in the year ago period, the data showed.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The average landed price in July was $128.15/mt.</w:t>
      </w:r>
    </w:p>
    <w:p>
      <w:pPr>
        <w:autoSpaceDN w:val="0"/>
        <w:autoSpaceDE w:val="0"/>
        <w:widowControl/>
        <w:spacing w:line="240" w:lineRule="exact" w:before="2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Even as Indonesia’s coal exports to South Korea rose 9.9%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year on year to 2.49 million mt in August, Australia was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biggest supplier in August at 2.81 million mt exported. The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average landed price of Australian thermal coal rose to $195.24/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mt in August, from $187.07/mt a year ago. However, the average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landed price for Indonesian coal fell to $83.84/mt in August from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$84.59/mt in the same month a year ago.</w:t>
      </w:r>
    </w:p>
    <w:p>
      <w:pPr>
        <w:autoSpaceDN w:val="0"/>
        <w:autoSpaceDE w:val="0"/>
        <w:widowControl/>
        <w:spacing w:line="240" w:lineRule="exact" w:before="4" w:after="0"/>
        <w:ind w:left="568" w:right="144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average price of FOB Newcastle Australian 5,500 kcal/kg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NAR stood at $87.33/mt in August, down from $87.80/mt in July,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according to Platts assessments from S&amp;P Global Commodity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Insights. Platts assessed the price at $86.75/mt on Sept. 13.</w:t>
      </w:r>
    </w:p>
    <w:p>
      <w:pPr>
        <w:autoSpaceDN w:val="0"/>
        <w:autoSpaceDE w:val="0"/>
        <w:widowControl/>
        <w:spacing w:line="240" w:lineRule="exact" w:before="4" w:after="0"/>
        <w:ind w:left="568" w:right="288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Coal supplies from Mozambique and South Africa to South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Korea fell sharply in August. Exports of coal from Mozambique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plunged 67.7% on the year in August to 53,022 mt. Meanwhile,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there were no exports of coal from South Africa to South Korea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August, compared to South Africa having sent 976,455 mt 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August 2023.</w:t>
      </w:r>
    </w:p>
    <w:p>
      <w:pPr>
        <w:autoSpaceDN w:val="0"/>
        <w:autoSpaceDE w:val="0"/>
        <w:widowControl/>
        <w:spacing w:line="240" w:lineRule="exact" w:before="2" w:after="0"/>
        <w:ind w:left="568" w:right="432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Thermal coal prices fell in August due to sluggish demand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from top importers. Rainfall in China and India, coupled with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sufficient stocks at ports, reduced coal buying appetite from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India and China, which decreased demand for spot cargoes. </w:t>
      </w:r>
    </w:p>
    <w:p>
      <w:pPr>
        <w:autoSpaceDN w:val="0"/>
        <w:autoSpaceDE w:val="0"/>
        <w:widowControl/>
        <w:spacing w:line="240" w:lineRule="exact" w:before="2" w:after="0"/>
        <w:ind w:left="568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Market participants anticipated demand to pick up as rains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subside and as China begins restocking for the winter season and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building stocks for the upcoming festival season.</w:t>
      </w:r>
    </w:p>
    <w:p>
      <w:pPr>
        <w:autoSpaceDN w:val="0"/>
        <w:autoSpaceDE w:val="0"/>
        <w:widowControl/>
        <w:spacing w:line="240" w:lineRule="exact" w:before="2" w:after="0"/>
        <w:ind w:left="568" w:right="0" w:firstLine="254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Russia was the third largest supplier to South Korea in August,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sending 2.42 million mt of coal, up 6.2% on the year. The average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landed price of Russian imports fell to $120.83/mt in August from 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112" w:space="0"/>
            <w:col w:w="612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24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$136.40/mt a year ago.</w:t>
      </w:r>
    </w:p>
    <w:p>
      <w:pPr>
        <w:autoSpaceDN w:val="0"/>
        <w:autoSpaceDE w:val="0"/>
        <w:widowControl/>
        <w:spacing w:line="240" w:lineRule="exact" w:before="2" w:after="0"/>
        <w:ind w:left="12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Platts NEAT index assessment for 5,750 kcal/kg NAR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delivered to Kinuura, Japan, on a CFR basis averaged $112.68/mt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 August, up from $109.13/mt a year ago. This assessment is 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popular price reference point for cargoes supplied in Northeast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Asia, including to South Korea and Taiwan.</w:t>
      </w:r>
    </w:p>
    <w:p>
      <w:pPr>
        <w:autoSpaceDN w:val="0"/>
        <w:tabs>
          <w:tab w:pos="380" w:val="left"/>
        </w:tabs>
        <w:autoSpaceDE w:val="0"/>
        <w:widowControl/>
        <w:spacing w:line="240" w:lineRule="exact" w:before="2" w:after="0"/>
        <w:ind w:left="124" w:right="720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South Korea imported 119.46 million mt of coal in all of 2023,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down from 125.15 million in 2022.</w:t>
      </w:r>
    </w:p>
    <w:p>
      <w:pPr>
        <w:autoSpaceDN w:val="0"/>
        <w:autoSpaceDE w:val="0"/>
        <w:widowControl/>
        <w:spacing w:line="242" w:lineRule="exact" w:before="0" w:after="0"/>
        <w:ind w:left="0" w:right="618" w:firstLine="0"/>
        <w:jc w:val="right"/>
      </w:pP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78" w:history="1">
          <w:r>
            <w:rPr>
              <w:rStyle w:val="Hyperlink"/>
            </w:rPr>
            <w:t>Aditya Saroha</w:t>
          </w:r>
        </w:hyperlink>
      </w:r>
    </w:p>
    <w:p>
      <w:pPr>
        <w:autoSpaceDN w:val="0"/>
        <w:autoSpaceDE w:val="0"/>
        <w:widowControl/>
        <w:spacing w:line="240" w:lineRule="exact" w:before="254" w:after="0"/>
        <w:ind w:left="124" w:right="2016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Russia’s Rosatom says it could restart </w:t>
      </w:r>
      <w:r>
        <w:rPr>
          <w:rFonts w:ascii="AkkuratLL" w:hAnsi="AkkuratLL" w:eastAsia="AkkuratLL"/>
          <w:b/>
          <w:i w:val="0"/>
          <w:color w:val="221F1F"/>
          <w:sz w:val="22"/>
        </w:rPr>
        <w:t>occupied Ukrainian nuclear plant</w:t>
      </w:r>
    </w:p>
    <w:p>
      <w:pPr>
        <w:autoSpaceDN w:val="0"/>
        <w:autoSpaceDE w:val="0"/>
        <w:widowControl/>
        <w:spacing w:line="240" w:lineRule="exact" w:before="102" w:after="0"/>
        <w:ind w:left="380" w:right="2592" w:firstLine="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Rosatom may put Zaporizhzhia back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>online following a two-year outage</w:t>
      </w:r>
    </w:p>
    <w:p>
      <w:pPr>
        <w:autoSpaceDN w:val="0"/>
        <w:autoSpaceDE w:val="0"/>
        <w:widowControl/>
        <w:spacing w:line="240" w:lineRule="exact" w:before="70" w:after="0"/>
        <w:ind w:left="380" w:right="2448" w:firstLine="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Likhachev blames Ukrainian authorities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for damaging plant’s infrastructure</w:t>
      </w:r>
    </w:p>
    <w:p>
      <w:pPr>
        <w:autoSpaceDN w:val="0"/>
        <w:autoSpaceDE w:val="0"/>
        <w:widowControl/>
        <w:spacing w:line="240" w:lineRule="exact" w:before="72" w:after="0"/>
        <w:ind w:left="380" w:right="2304" w:firstLine="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Obligations under international contracts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are fulfilled despite sanctions</w:t>
      </w:r>
    </w:p>
    <w:p>
      <w:pPr>
        <w:autoSpaceDN w:val="0"/>
        <w:autoSpaceDE w:val="0"/>
        <w:widowControl/>
        <w:spacing w:line="240" w:lineRule="exact" w:before="224" w:after="0"/>
        <w:ind w:left="124" w:right="72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Rosatom is ready to start work on resuming operation of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Zaporizhzhia nuclear plant controlled by Russian forces as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soon as the military situation permits, Alexey Likhachev, CEO of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Russian state nuclear company Rosatom, said Sept. 16.</w:t>
      </w:r>
    </w:p>
    <w:p>
      <w:pPr>
        <w:autoSpaceDN w:val="0"/>
        <w:autoSpaceDE w:val="0"/>
        <w:widowControl/>
        <w:spacing w:line="240" w:lineRule="exact" w:before="2" w:after="0"/>
        <w:ind w:left="12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Speaking at the International Atomic Energy Agency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general conference in Vienna, Likhachev did not elaborate on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conditions necessary for the plant to resume generating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electricity, only stressing the plant’s physical safety and security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were Rosatom’s “unconditional priority.” He added that the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Russian nuclear company ensures a constant thermal, water, and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power supply to the facility.</w:t>
      </w:r>
    </w:p>
    <w:p>
      <w:pPr>
        <w:autoSpaceDN w:val="0"/>
        <w:autoSpaceDE w:val="0"/>
        <w:widowControl/>
        <w:spacing w:line="240" w:lineRule="exact" w:before="2" w:after="0"/>
        <w:ind w:left="12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Rosenergoatom, Rosatom’s department for Russian nuclear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plant management, shut Zaporizhzhia-6, the last unit at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nuclear plant remaining in operation at that time. Rosenergoatom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cited mounting security concerns as a rationale behind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decision.</w:t>
      </w:r>
    </w:p>
    <w:p>
      <w:pPr>
        <w:autoSpaceDN w:val="0"/>
        <w:autoSpaceDE w:val="0"/>
        <w:widowControl/>
        <w:spacing w:line="240" w:lineRule="exact" w:before="4" w:after="0"/>
        <w:ind w:left="124" w:right="100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Zaporizhzhia plant has been under the control of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Russian troops since early March while remaining near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frontline and suffering from constant shelling.</w:t>
      </w:r>
    </w:p>
    <w:p>
      <w:pPr>
        <w:autoSpaceDN w:val="0"/>
        <w:autoSpaceDE w:val="0"/>
        <w:widowControl/>
        <w:spacing w:line="240" w:lineRule="exact" w:before="4" w:after="0"/>
        <w:ind w:left="124" w:right="72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On Oct. 6, Putin issued a decree to transfer the plant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Rosatom. Ukraine described the decree as illegal and called on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Western countries to impose sanctions against Rosatom.</w:t>
      </w:r>
    </w:p>
    <w:p>
      <w:pPr>
        <w:autoSpaceDN w:val="0"/>
        <w:autoSpaceDE w:val="0"/>
        <w:widowControl/>
        <w:spacing w:line="240" w:lineRule="exact" w:before="4" w:after="0"/>
        <w:ind w:left="12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Likhachev blamed the Ukrainian authorities for “reckless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actions,” which he emphasized “threaten not only Russia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but also the entire nuclear energy” industry. The threats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are not potential, and some of them have fully materialized,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referring to “recorded damage” to the plant’s infrastructure,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social facilities and “places where plant employees live,”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he added.</w:t>
      </w:r>
    </w:p>
    <w:p>
      <w:pPr>
        <w:autoSpaceDN w:val="0"/>
        <w:autoSpaceDE w:val="0"/>
        <w:widowControl/>
        <w:spacing w:line="240" w:lineRule="exact" w:before="2" w:after="0"/>
        <w:ind w:left="124" w:right="576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Ukraine has also threatened the Kursk nuclear plant in Russia,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Likhachev stated. Ukrainian forces have taken over a portion of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the region in which that plant is located.</w:t>
      </w:r>
    </w:p>
    <w:p>
      <w:pPr>
        <w:autoSpaceDN w:val="0"/>
        <w:tabs>
          <w:tab w:pos="380" w:val="left"/>
        </w:tabs>
        <w:autoSpaceDE w:val="0"/>
        <w:widowControl/>
        <w:spacing w:line="240" w:lineRule="exact" w:before="2" w:after="594"/>
        <w:ind w:left="124" w:right="576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“Kyiv’s behavior requires an adequate response, including from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international organizations,” he said.</w:t>
      </w: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112" w:space="0"/>
            <w:col w:w="612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430"/>
        </w:trPr>
        <w:tc>
          <w:tcPr>
            <w:tcW w:type="dxa" w:w="3666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8574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27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294"/>
        </w:trPr>
        <w:tc>
          <w:tcPr>
            <w:tcW w:type="dxa" w:w="1596"/>
            <w:tcBorders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0" w:right="302" w:firstLine="0"/>
              <w:jc w:val="righ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Coal Trader</w:t>
            </w:r>
          </w:p>
        </w:tc>
        <w:tc>
          <w:tcPr>
            <w:tcW w:type="dxa" w:w="10644"/>
            <w:tcBorders>
              <w:start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274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Monday, September 16, 2024</w:t>
            </w:r>
          </w:p>
        </w:tc>
      </w:tr>
      <w:tr>
        <w:trPr>
          <w:trHeight w:hRule="exact" w:val="122"/>
        </w:trPr>
        <w:tc>
          <w:tcPr>
            <w:tcW w:type="dxa" w:w="12240"/>
            <w:gridSpan w:val="2"/>
            <w:tcBorders>
              <w:bottom w:sz="4.0" w:val="single" w:color="#D1D2D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556"/>
        <w:ind w:left="0" w:right="0"/>
      </w:pPr>
    </w:p>
    <w:p>
      <w:pPr>
        <w:sectPr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2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IAEA has stationed observers at Zaporizhzhia in an effort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to support nuclear safety. It has called for a halt to fighting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around all nuclear plants in the region, and has supported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Ukrainian nuclear regulator’s decision to order all units at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Zaporizhzhia shut due to safety concerns.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" w:after="0"/>
        <w:ind w:left="566" w:right="576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Ukrainian authorities have blamed Russia for damage to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Zaporizhzhia and surrounding transmission infrastructure.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" w:after="0"/>
        <w:ind w:left="566" w:right="0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Likhachev also said Rosatom was committed to fulfilling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its obligations under international agreements “despite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>unprecedented and illegal sanction pressure.”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“None of our construction projects have been stopped,” </w:t>
      </w:r>
      <w:r>
        <w:br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Likhachev said. Rosatom commissioned Ostravets-2 in Belarus in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2023 and is proceeding with large-capacity nuclear plant projects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in Bangladesh, Egypt, Hungary, Iran and Turkey, he added.</w:t>
      </w:r>
    </w:p>
    <w:p>
      <w:pPr>
        <w:autoSpaceDN w:val="0"/>
        <w:autoSpaceDE w:val="0"/>
        <w:widowControl/>
        <w:spacing w:line="240" w:lineRule="exact" w:before="4" w:after="0"/>
        <w:ind w:left="566" w:right="28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Rosatom’s press office confirmed Likhachev’s comments,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initially carried on Russian state media, in an email Sept. 16, but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declined to provide additional comments.</w:t>
      </w:r>
    </w:p>
    <w:p>
      <w:pPr>
        <w:autoSpaceDN w:val="0"/>
        <w:autoSpaceDE w:val="0"/>
        <w:widowControl/>
        <w:spacing w:line="244" w:lineRule="exact" w:before="0" w:after="0"/>
        <w:ind w:left="0" w:right="150" w:firstLine="0"/>
        <w:jc w:val="right"/>
      </w:pP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30" w:history="1">
          <w:r>
            <w:rPr>
              <w:rStyle w:val="Hyperlink"/>
            </w:rPr>
            <w:t>Vladislav Vorotnikov</w:t>
          </w:r>
        </w:hyperlink>
      </w:r>
    </w:p>
    <w:p>
      <w:pPr>
        <w:autoSpaceDN w:val="0"/>
        <w:autoSpaceDE w:val="0"/>
        <w:widowControl/>
        <w:spacing w:line="312" w:lineRule="exact" w:before="420" w:after="0"/>
        <w:ind w:left="566" w:right="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2"/>
        </w:rPr>
        <w:t xml:space="preserve">US OTC coals open week with unchanged finishes </w:t>
      </w:r>
    </w:p>
    <w:p>
      <w:pPr>
        <w:autoSpaceDN w:val="0"/>
        <w:autoSpaceDE w:val="0"/>
        <w:widowControl/>
        <w:spacing w:line="188" w:lineRule="exact" w:before="28" w:after="0"/>
        <w:ind w:left="566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4"/>
          <w:u w:val="single"/>
        </w:rPr>
        <w:t>...from page 1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252" w:after="0"/>
        <w:ind w:left="566" w:right="576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All assessed prompt-month and -quarter coals remained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at parity.</w:t>
      </w:r>
    </w:p>
    <w:p>
      <w:pPr>
        <w:autoSpaceDN w:val="0"/>
        <w:autoSpaceDE w:val="0"/>
        <w:widowControl/>
        <w:spacing w:line="240" w:lineRule="exact" w:before="2" w:after="0"/>
        <w:ind w:left="566" w:right="288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 assessed Central Appalachian 12,500 Btu/lb CSX rail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coal for October delivery at $73.50/st, a number influenced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by broker indications of value at $74.50/st and $72.50/st.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assessment has held in the last four sessions. Prompt-quarter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CAPP rail coal drew identical indications.</w:t>
      </w:r>
    </w:p>
    <w:p>
      <w:pPr>
        <w:autoSpaceDN w:val="0"/>
        <w:autoSpaceDE w:val="0"/>
        <w:widowControl/>
        <w:spacing w:line="240" w:lineRule="exact" w:before="2" w:after="0"/>
        <w:ind w:left="566" w:right="144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Illinois Basin 11,500 Btu/lb barge coal for October has held at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$40.50/st for a week, an assessment influenced by indications at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$41.25/st and $39.75/st.</w:t>
      </w:r>
    </w:p>
    <w:p>
      <w:pPr>
        <w:autoSpaceDN w:val="0"/>
        <w:autoSpaceDE w:val="0"/>
        <w:widowControl/>
        <w:spacing w:line="240" w:lineRule="exact" w:before="2" w:after="0"/>
        <w:ind w:left="566" w:right="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Powder River Basin coals have held their assessments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throughout prompt-month October. PRB 8,800 Btu/lb for October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drew indications of value at $13.90/st and $14/st on its way to a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$13.95/st assessment. Prompt-month and -quarter PRB 8,400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fuels continued at $11.40/st.</w:t>
      </w:r>
    </w:p>
    <w:p>
      <w:pPr>
        <w:autoSpaceDN w:val="0"/>
        <w:tabs>
          <w:tab w:pos="822" w:val="left"/>
        </w:tabs>
        <w:autoSpaceDE w:val="0"/>
        <w:widowControl/>
        <w:spacing w:line="240" w:lineRule="exact" w:before="4" w:after="0"/>
        <w:ind w:left="566" w:right="864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All coal assessments were tested in the market until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4:30 pm ET.</w:t>
      </w:r>
    </w:p>
    <w:p>
      <w:pPr>
        <w:sectPr>
          <w:type w:val="continuous"/>
          <w:pgSz w:w="12240" w:h="15840"/>
          <w:pgMar w:top="208" w:right="0" w:bottom="210" w:left="0" w:header="720" w:footer="720" w:gutter="0"/>
          <w:cols w:num="2" w:equalWidth="0">
            <w:col w:w="6102" w:space="0"/>
            <w:col w:w="6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4" w:after="0"/>
        <w:ind w:left="134" w:right="72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day’s movement for OTC coal interests came from the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NYMEX Henry Hub natural gas market, which added 6.8 cents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to finish at $2.373/MMBtu. One year ago, the contract stood at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$2.644/MMBtu.</w:t>
      </w:r>
    </w:p>
    <w:p>
      <w:pPr>
        <w:autoSpaceDN w:val="0"/>
        <w:autoSpaceDE w:val="0"/>
        <w:widowControl/>
        <w:spacing w:line="244" w:lineRule="exact" w:before="0" w:after="0"/>
        <w:ind w:left="3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Platts is part of S&amp;P Global Commodity Insights.</w:t>
      </w:r>
    </w:p>
    <w:p>
      <w:pPr>
        <w:autoSpaceDN w:val="0"/>
        <w:autoSpaceDE w:val="0"/>
        <w:widowControl/>
        <w:spacing w:line="244" w:lineRule="exact" w:before="0" w:after="0"/>
        <w:ind w:left="0" w:right="618" w:firstLine="0"/>
        <w:jc w:val="right"/>
      </w:pPr>
      <w:r>
        <w:rPr>
          <w:rFonts w:ascii="AkkuratLL" w:hAnsi="AkkuratLL" w:eastAsia="AkkuratLL"/>
          <w:b w:val="0"/>
          <w:i/>
          <w:color w:val="221F1F"/>
          <w:sz w:val="18"/>
        </w:rPr>
        <w:t xml:space="preserve">— </w:t>
      </w:r>
      <w:r>
        <w:rPr>
          <w:rFonts w:ascii="AkkuratLL" w:hAnsi="AkkuratLL" w:eastAsia="AkkuratLL"/>
          <w:b w:val="0"/>
          <w:i/>
          <w:color w:val="221F1F"/>
          <w:sz w:val="18"/>
        </w:rPr>
        <w:hyperlink r:id="rId75" w:history="1">
          <w:r>
            <w:rPr>
              <w:rStyle w:val="Hyperlink"/>
            </w:rPr>
            <w:t>Michael Fox</w:t>
          </w:r>
        </w:hyperlink>
      </w:r>
    </w:p>
    <w:p>
      <w:pPr>
        <w:autoSpaceDN w:val="0"/>
        <w:autoSpaceDE w:val="0"/>
        <w:widowControl/>
        <w:spacing w:line="334" w:lineRule="exact" w:before="346" w:after="0"/>
        <w:ind w:left="134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24"/>
          <w:u w:val="single"/>
        </w:rPr>
        <w:t>Assessment Rationales</w:t>
      </w:r>
    </w:p>
    <w:p>
      <w:pPr>
        <w:autoSpaceDN w:val="0"/>
        <w:tabs>
          <w:tab w:pos="390" w:val="left"/>
        </w:tabs>
        <w:autoSpaceDE w:val="0"/>
        <w:widowControl/>
        <w:spacing w:line="238" w:lineRule="exact" w:before="288" w:after="0"/>
        <w:ind w:left="134" w:right="72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Platts Coal US PRB 8,800 OTC Daily Rationale 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 assessed physical PRB 8,800 Btu/lb coal for October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delivery at $13.95/st Sept. 16, unchanged from the previous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session, based on indications of value at $13.90/st and $14/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st, tested in the market through 4:30 pm ET. The assessment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excluded no data.</w:t>
      </w:r>
    </w:p>
    <w:p>
      <w:pPr>
        <w:autoSpaceDN w:val="0"/>
        <w:autoSpaceDE w:val="0"/>
        <w:widowControl/>
        <w:spacing w:line="242" w:lineRule="exact" w:before="0" w:after="0"/>
        <w:ind w:left="3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Platts is part of S&amp;P Global Commodity Insights.</w:t>
      </w:r>
    </w:p>
    <w:p>
      <w:pPr>
        <w:autoSpaceDN w:val="0"/>
        <w:autoSpaceDE w:val="0"/>
        <w:widowControl/>
        <w:spacing w:line="242" w:lineRule="exact" w:before="0" w:after="0"/>
        <w:ind w:left="3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This rationale applies to symbol(s) &lt;CTAM001&gt;.</w:t>
      </w:r>
    </w:p>
    <w:p>
      <w:pPr>
        <w:autoSpaceDN w:val="0"/>
        <w:tabs>
          <w:tab w:pos="390" w:val="left"/>
        </w:tabs>
        <w:autoSpaceDE w:val="0"/>
        <w:widowControl/>
        <w:spacing w:line="238" w:lineRule="exact" w:before="248" w:after="0"/>
        <w:ind w:left="134" w:right="720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Platts Coal US CAPP Rail CSX OTC Daily Rationale </w:t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 assessed physical CAPP rail (CSX) coal for October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delivery at $73.50/st Sept. 16, unchanged from the previous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session, based on indications of value at $74.50/st and $72.50/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st, tested in the market through 4:30 pm ET. The assessment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excluded no data.</w:t>
      </w:r>
    </w:p>
    <w:p>
      <w:pPr>
        <w:autoSpaceDN w:val="0"/>
        <w:autoSpaceDE w:val="0"/>
        <w:widowControl/>
        <w:spacing w:line="242" w:lineRule="exact" w:before="0" w:after="0"/>
        <w:ind w:left="3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Platts is part of S&amp;P Global Commodity Insights.</w:t>
      </w:r>
    </w:p>
    <w:p>
      <w:pPr>
        <w:autoSpaceDN w:val="0"/>
        <w:autoSpaceDE w:val="0"/>
        <w:widowControl/>
        <w:spacing w:line="242" w:lineRule="exact" w:before="0" w:after="0"/>
        <w:ind w:left="390" w:right="0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>This rationale applies to symbol(s) &lt;CAKM001&gt;.</w:t>
      </w:r>
    </w:p>
    <w:p>
      <w:pPr>
        <w:autoSpaceDN w:val="0"/>
        <w:tabs>
          <w:tab w:pos="390" w:val="left"/>
        </w:tabs>
        <w:autoSpaceDE w:val="0"/>
        <w:widowControl/>
        <w:spacing w:line="236" w:lineRule="exact" w:before="250" w:after="0"/>
        <w:ind w:left="134" w:right="576" w:firstLine="0"/>
        <w:jc w:val="left"/>
      </w:pPr>
      <w:r>
        <w:rPr>
          <w:rFonts w:ascii="AkkuratLL" w:hAnsi="AkkuratLL" w:eastAsia="AkkuratLL"/>
          <w:b/>
          <w:i w:val="0"/>
          <w:color w:val="221F1F"/>
          <w:sz w:val="20"/>
        </w:rPr>
        <w:t xml:space="preserve">Coal EMEA CIF ARA Daily </w:t>
      </w:r>
      <w:r>
        <w:br/>
      </w: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Platts assessed the 15- to 60-day price of CIF ARA 6,000 kcal/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kg NAR coal at $110.80/mt Sept. 16, down $1.50/mt from Sept. 13.</w:t>
      </w:r>
    </w:p>
    <w:p>
      <w:pPr>
        <w:autoSpaceDN w:val="0"/>
        <w:autoSpaceDE w:val="0"/>
        <w:widowControl/>
        <w:spacing w:line="240" w:lineRule="exact" w:before="2" w:after="0"/>
        <w:ind w:left="134" w:right="720" w:firstLine="256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 bid and an offer for CIF ARA 6,000 kcal/kg NAR coal were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heard at $110.75/mt and $111.50/mt, respectively, for an October-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loading 50,000-mt cargo.</w:t>
      </w:r>
    </w:p>
    <w:p>
      <w:pPr>
        <w:autoSpaceDN w:val="0"/>
        <w:tabs>
          <w:tab w:pos="390" w:val="left"/>
        </w:tabs>
        <w:autoSpaceDE w:val="0"/>
        <w:widowControl/>
        <w:spacing w:line="240" w:lineRule="exact" w:before="2" w:after="0"/>
        <w:ind w:left="134" w:right="720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Another bid and offer were heard at $110.50/mt and $112.25/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mt, respectively, for a November-loading 50,000-mt cargo.</w:t>
      </w:r>
    </w:p>
    <w:p>
      <w:pPr>
        <w:autoSpaceDN w:val="0"/>
        <w:autoSpaceDE w:val="0"/>
        <w:widowControl/>
        <w:spacing w:line="240" w:lineRule="exact" w:before="2" w:after="0"/>
        <w:ind w:left="390" w:right="576" w:firstLine="0"/>
        <w:jc w:val="left"/>
      </w:pP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No trades were heard for the CIF ARA 6,000 kcal/kg NAR coal.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Platts is part of S&amp;P Global Commodity Insights.</w:t>
      </w:r>
    </w:p>
    <w:p>
      <w:pPr>
        <w:autoSpaceDN w:val="0"/>
        <w:tabs>
          <w:tab w:pos="390" w:val="left"/>
        </w:tabs>
        <w:autoSpaceDE w:val="0"/>
        <w:widowControl/>
        <w:spacing w:line="240" w:lineRule="exact" w:before="2" w:after="3952"/>
        <w:ind w:left="134" w:right="576" w:firstLine="0"/>
        <w:jc w:val="left"/>
      </w:pPr>
      <w:r>
        <w:tab/>
      </w:r>
      <w:r>
        <w:rPr>
          <w:rFonts w:ascii="AkkuratLL" w:hAnsi="AkkuratLL" w:eastAsia="AkkuratLL"/>
          <w:b w:val="0"/>
          <w:i w:val="0"/>
          <w:color w:val="221F1F"/>
          <w:sz w:val="18"/>
        </w:rPr>
        <w:t xml:space="preserve">The above rationale applies to the CIF ARA 6,000 kcal/kg NAR </w:t>
      </w:r>
      <w:r>
        <w:rPr>
          <w:rFonts w:ascii="AkkuratLL" w:hAnsi="AkkuratLL" w:eastAsia="AkkuratLL"/>
          <w:b w:val="0"/>
          <w:i w:val="0"/>
          <w:color w:val="221F1F"/>
          <w:sz w:val="18"/>
        </w:rPr>
        <w:t>assessment, with the associated code: CSARM01</w:t>
      </w:r>
    </w:p>
    <w:p>
      <w:pPr>
        <w:sectPr>
          <w:type w:val="nextColumn"/>
          <w:pgSz w:w="12240" w:h="15840"/>
          <w:pgMar w:top="208" w:right="0" w:bottom="210" w:left="0" w:header="720" w:footer="720" w:gutter="0"/>
          <w:cols w:num="2" w:equalWidth="0">
            <w:col w:w="6102" w:space="0"/>
            <w:col w:w="6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20"/>
        <w:gridCol w:w="6120"/>
      </w:tblGrid>
      <w:tr>
        <w:trPr>
          <w:trHeight w:hRule="exact" w:val="430"/>
        </w:trPr>
        <w:tc>
          <w:tcPr>
            <w:tcW w:type="dxa" w:w="3666"/>
            <w:tcBorders>
              <w:top w:sz="4.0" w:val="single" w:color="#D1D2D4"/>
              <w:end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4" w:after="0"/>
              <w:ind w:left="566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14"/>
              </w:rPr>
              <w:t>© 2024 by S&amp;P Global Inc. All rights reserved.</w:t>
            </w:r>
          </w:p>
        </w:tc>
        <w:tc>
          <w:tcPr>
            <w:tcW w:type="dxa" w:w="8574"/>
            <w:tcBorders>
              <w:start w:sz="4.0" w:val="single" w:color="#D1D2D4"/>
              <w:top w:sz="4.0" w:val="single" w:color="#D1D2D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4" w:after="0"/>
              <w:ind w:left="278" w:right="0" w:firstLine="0"/>
              <w:jc w:val="left"/>
            </w:pPr>
            <w:r>
              <w:rPr>
                <w:rFonts w:ascii="AkkuratLL" w:hAnsi="AkkuratLL" w:eastAsia="AkkuratLL"/>
                <w:b w:val="0"/>
                <w:i w:val="0"/>
                <w:color w:val="221F1F"/>
                <w:sz w:val="20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8" w:right="0" w:bottom="2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412750</wp:posOffset>
            </wp:positionV>
            <wp:extent cx="4712970" cy="645734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64573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59700" cy="100584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974" w:lineRule="exact" w:before="0" w:after="0"/>
        <w:ind w:left="0" w:right="4984" w:firstLine="0"/>
        <w:jc w:val="right"/>
      </w:pPr>
      <w:r>
        <w:rPr>
          <w:rFonts w:ascii="AkkuratLL" w:hAnsi="AkkuratLL" w:eastAsia="AkkuratLL"/>
          <w:b w:val="0"/>
          <w:i w:val="0"/>
          <w:color w:val="FFFFFF"/>
          <w:sz w:val="70"/>
        </w:rPr>
        <w:t>LIVE</w:t>
      </w:r>
    </w:p>
    <w:p>
      <w:pPr>
        <w:autoSpaceDN w:val="0"/>
        <w:autoSpaceDE w:val="0"/>
        <w:widowControl/>
        <w:spacing w:line="588" w:lineRule="exact" w:before="7804" w:after="0"/>
        <w:ind w:left="58" w:right="0" w:firstLine="0"/>
        <w:jc w:val="left"/>
      </w:pPr>
      <w:r>
        <w:rPr>
          <w:rFonts w:ascii="AkkuratLL" w:hAnsi="AkkuratLL" w:eastAsia="AkkuratLL"/>
          <w:b/>
          <w:i w:val="0"/>
          <w:color w:val="120B0D"/>
          <w:sz w:val="41"/>
        </w:rPr>
        <w:t>Community</w:t>
      </w:r>
    </w:p>
    <w:p>
      <w:pPr>
        <w:autoSpaceDN w:val="0"/>
        <w:autoSpaceDE w:val="0"/>
        <w:widowControl/>
        <w:spacing w:line="412" w:lineRule="exact" w:before="2740" w:after="0"/>
        <w:ind w:left="0" w:right="2448" w:firstLine="0"/>
        <w:jc w:val="left"/>
      </w:pPr>
      <w:r>
        <w:rPr>
          <w:rFonts w:ascii="AkkuratLL" w:hAnsi="AkkuratLL" w:eastAsia="AkkuratLL"/>
          <w:b w:val="0"/>
          <w:i w:val="0"/>
          <w:color w:val="FFFFFF"/>
          <w:sz w:val="36"/>
        </w:rPr>
        <w:t xml:space="preserve">Stay current on the most significant </w:t>
      </w:r>
      <w:r>
        <w:br/>
      </w:r>
      <w:r>
        <w:rPr>
          <w:rFonts w:ascii="AkkuratLL" w:hAnsi="AkkuratLL" w:eastAsia="AkkuratLL"/>
          <w:b w:val="0"/>
          <w:i w:val="0"/>
          <w:color w:val="FFFFFF"/>
          <w:sz w:val="36"/>
        </w:rPr>
        <w:t xml:space="preserve">events in global energy and commodities </w:t>
      </w:r>
      <w:r>
        <w:rPr>
          <w:rFonts w:ascii="AkkuratLL" w:hAnsi="AkkuratLL" w:eastAsia="AkkuratLL"/>
          <w:b w:val="0"/>
          <w:i w:val="0"/>
          <w:color w:val="FFFFFF"/>
          <w:sz w:val="36"/>
        </w:rPr>
        <w:t xml:space="preserve">markets and connected with the </w:t>
      </w:r>
      <w:r>
        <w:br/>
      </w:r>
      <w:r>
        <w:rPr>
          <w:rFonts w:ascii="AkkuratLL" w:hAnsi="AkkuratLL" w:eastAsia="AkkuratLL"/>
          <w:b w:val="0"/>
          <w:i w:val="0"/>
          <w:color w:val="FFFFFF"/>
          <w:sz w:val="36"/>
        </w:rPr>
        <w:t>industry’s most influential thought leaders.</w:t>
      </w:r>
    </w:p>
    <w:p>
      <w:pPr>
        <w:autoSpaceDN w:val="0"/>
        <w:autoSpaceDE w:val="0"/>
        <w:widowControl/>
        <w:spacing w:line="508" w:lineRule="exact" w:before="204" w:after="0"/>
        <w:ind w:left="0" w:right="0" w:firstLine="0"/>
        <w:jc w:val="left"/>
      </w:pPr>
      <w:r>
        <w:rPr>
          <w:rFonts w:ascii="AkkuratLL" w:hAnsi="AkkuratLL" w:eastAsia="AkkuratLL"/>
          <w:b w:val="0"/>
          <w:i w:val="0"/>
          <w:color w:val="FFFFFF"/>
          <w:sz w:val="36"/>
        </w:rPr>
        <w:t xml:space="preserve">Visit </w:t>
      </w:r>
      <w:r>
        <w:rPr>
          <w:rFonts w:ascii="AkkuratLL" w:hAnsi="AkkuratLL" w:eastAsia="AkkuratLL"/>
          <w:b/>
          <w:i w:val="0"/>
          <w:color w:val="FFFFFF"/>
          <w:sz w:val="36"/>
        </w:rPr>
        <w:t>cilive.com</w:t>
      </w:r>
    </w:p>
    <w:sectPr w:rsidR="00FC693F" w:rsidRPr="0006063C" w:rsidSect="00034616">
      <w:pgSz w:w="12240" w:h="15840"/>
      <w:pgMar w:top="80" w:right="1440" w:bottom="608" w:left="111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plattsconnect.spglobal.com  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hyperlink" Target="mailto:support@platts.com" TargetMode="External"/><Relationship Id="rId31" Type="http://schemas.openxmlformats.org/officeDocument/2006/relationships/hyperlink" Target="mailto:jeremy.beaman@spglobal.com" TargetMode="External"/><Relationship Id="rId32" Type="http://schemas.openxmlformats.org/officeDocument/2006/relationships/hyperlink" Target="mailto:binish.azhar@spglobal.com" TargetMode="Externa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hyperlink" Target="mailto:jared.anderson@spglobal.com" TargetMode="External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hyperlink" Target="mailto:michael.fox@spglobal.com" TargetMode="External"/><Relationship Id="rId76" Type="http://schemas.openxmlformats.org/officeDocument/2006/relationships/hyperlink" Target="https://www.spglobal.com/commodityinsights/en/ci/products/commodities-at-sea.html" TargetMode="External"/><Relationship Id="rId77" Type="http://schemas.openxmlformats.org/officeDocument/2006/relationships/hyperlink" Target="mailto:morgan.snook@spglobal.com" TargetMode="External"/><Relationship Id="rId78" Type="http://schemas.openxmlformats.org/officeDocument/2006/relationships/hyperlink" Target="mailto:aditya.saroha@spglobal.com" TargetMode="External"/><Relationship Id="rId79" Type="http://schemas.openxmlformats.org/officeDocument/2006/relationships/image" Target="media/image62.png"/><Relationship Id="rId8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