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wta6m2srv4h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Presentation 1: The Printer Department (Regional &amp; B2B Strategy)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color w:val="1f1f1f"/>
          <w:rtl w:val="0"/>
        </w:rPr>
        <w:t xml:space="preserve"> All 15 Branches (Abakaliki to Pepple)|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Target Year:</w:t>
      </w:r>
      <w:r w:rsidDel="00000000" w:rsidR="00000000" w:rsidRPr="00000000">
        <w:rPr>
          <w:color w:val="1f1f1f"/>
          <w:rtl w:val="0"/>
        </w:rPr>
        <w:t xml:space="preserve"> 2026 Strategy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dcxbnhwruv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State of Business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 Overview:</w:t>
      </w:r>
      <w:r w:rsidDel="00000000" w:rsidR="00000000" w:rsidRPr="00000000">
        <w:rPr>
          <w:color w:val="1f1f1f"/>
          <w:rtl w:val="0"/>
        </w:rPr>
        <w:t xml:space="preserve"> Total printer sales across all branches showed a moderate year-on-year (YoY) increase.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B2B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Obaakran</w:t>
      </w:r>
      <w:r w:rsidDel="00000000" w:rsidR="00000000" w:rsidRPr="00000000">
        <w:rPr>
          <w:color w:val="1f1f1f"/>
          <w:rtl w:val="0"/>
        </w:rPr>
        <w:t xml:space="preserve"> remain the volume leaders. However, regional branches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Asaba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Uyo</w:t>
      </w:r>
      <w:r w:rsidDel="00000000" w:rsidR="00000000" w:rsidRPr="00000000">
        <w:rPr>
          <w:color w:val="1f1f1f"/>
          <w:rtl w:val="0"/>
        </w:rPr>
        <w:t xml:space="preserve"> are showing high growth potential but remain under-stocked on high-end office models.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Identified Gaps &amp; Opportunities: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Consumable Gap:</w:t>
      </w:r>
      <w:r w:rsidDel="00000000" w:rsidR="00000000" w:rsidRPr="00000000">
        <w:rPr>
          <w:color w:val="1f1f1f"/>
          <w:rtl w:val="0"/>
        </w:rPr>
        <w:t xml:space="preserve"> We are selling hardware but losing the recurring "Inks &amp; Toners" revenue to third-party vendors.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Online Integration:</w:t>
      </w:r>
      <w:r w:rsidDel="00000000" w:rsidR="00000000" w:rsidRPr="00000000">
        <w:rPr>
          <w:color w:val="1f1f1f"/>
          <w:rtl w:val="0"/>
        </w:rPr>
        <w:t xml:space="preserve"> "Online" sales of printers are growing, yet the "Aftersales Support" (Mission Statement) is not effectively communicated to online buyers.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Honest Assessment: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What’s Working:</w:t>
      </w:r>
      <w:r w:rsidDel="00000000" w:rsidR="00000000" w:rsidRPr="00000000">
        <w:rPr>
          <w:color w:val="1f1f1f"/>
          <w:rtl w:val="0"/>
        </w:rPr>
        <w:t xml:space="preserve"> High-volume sales of entry-level inkjet printers. B2B loyalty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Utako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Port Harcourt</w:t>
      </w:r>
      <w:r w:rsidDel="00000000" w:rsidR="00000000" w:rsidRPr="00000000">
        <w:rPr>
          <w:color w:val="1f1f1f"/>
          <w:rtl w:val="0"/>
        </w:rPr>
        <w:t xml:space="preserve"> sectors.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What’s Not:</w:t>
      </w:r>
      <w:r w:rsidDel="00000000" w:rsidR="00000000" w:rsidRPr="00000000">
        <w:rPr>
          <w:color w:val="1f1f1f"/>
          <w:rtl w:val="0"/>
        </w:rPr>
        <w:t xml:space="preserve"> Low margin on "best competitive price" hardware isn't being offset by secondary sales.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 Center</w:t>
      </w:r>
      <w:r w:rsidDel="00000000" w:rsidR="00000000" w:rsidRPr="00000000">
        <w:rPr>
          <w:color w:val="1f1f1f"/>
          <w:rtl w:val="0"/>
        </w:rPr>
        <w:t xml:space="preserve"> is underutilized as a sales lead generator.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c6cgf1wjxh4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Strategy Reset Workshop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Departmental SWOT: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Authorized dealership status; 15-branch physical footprint for local support.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Weaknesses:</w:t>
      </w:r>
      <w:r w:rsidDel="00000000" w:rsidR="00000000" w:rsidRPr="00000000">
        <w:rPr>
          <w:color w:val="1f1f1f"/>
          <w:rtl w:val="0"/>
        </w:rPr>
        <w:t xml:space="preserve"> Price sensitivity in regional markets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Abakaliki</w:t>
      </w:r>
      <w:r w:rsidDel="00000000" w:rsidR="00000000" w:rsidRPr="00000000">
        <w:rPr>
          <w:color w:val="1f1f1f"/>
          <w:rtl w:val="0"/>
        </w:rPr>
        <w:t xml:space="preserve">; logistics costs for remote toner delivery.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Opportunities:</w:t>
      </w:r>
      <w:r w:rsidDel="00000000" w:rsidR="00000000" w:rsidRPr="00000000">
        <w:rPr>
          <w:color w:val="1f1f1f"/>
          <w:rtl w:val="0"/>
        </w:rPr>
        <w:t xml:space="preserve"> Managed Print Services (MPS) for corporate clients; "Printer Health-Check" days at the Service Center.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Threats:</w:t>
      </w:r>
      <w:r w:rsidDel="00000000" w:rsidR="00000000" w:rsidRPr="00000000">
        <w:rPr>
          <w:color w:val="1f1f1f"/>
          <w:rtl w:val="0"/>
        </w:rPr>
        <w:t xml:space="preserve"> Digitalization reducing consumer printing; cheap, counterfeit consumables.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Insights:</w:t>
      </w:r>
      <w:r w:rsidDel="00000000" w:rsidR="00000000" w:rsidRPr="00000000">
        <w:rPr>
          <w:color w:val="1f1f1f"/>
          <w:rtl w:val="0"/>
        </w:rPr>
        <w:t xml:space="preserve"> Customers no longer just want a printer; they want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uptime</w:t>
      </w:r>
      <w:r w:rsidDel="00000000" w:rsidR="00000000" w:rsidRPr="00000000">
        <w:rPr>
          <w:color w:val="1f1f1f"/>
          <w:rtl w:val="0"/>
        </w:rPr>
        <w:t xml:space="preserve">. Behavior is shifting toward "Tank" systems where the customer buys ink in bulk.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u86856bhq5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2026 Strategy: "The Total Print Solution"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Strategy Goal:</w:t>
      </w:r>
      <w:r w:rsidDel="00000000" w:rsidR="00000000" w:rsidRPr="00000000">
        <w:rPr>
          <w:color w:val="1f1f1f"/>
          <w:rtl w:val="0"/>
        </w:rPr>
        <w:t xml:space="preserve"> Pivot from selling "boxes" to selling "Business Continuity."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Performance Indicators (KPIs):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Attach Rate:</w:t>
      </w:r>
      <w:r w:rsidDel="00000000" w:rsidR="00000000" w:rsidRPr="00000000">
        <w:rPr>
          <w:color w:val="1f1f1f"/>
          <w:rtl w:val="0"/>
        </w:rPr>
        <w:t xml:space="preserve"> 75% of printer sales must include at least one spare consumable.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Service Conversion:</w:t>
      </w:r>
      <w:r w:rsidDel="00000000" w:rsidR="00000000" w:rsidRPr="00000000">
        <w:rPr>
          <w:color w:val="1f1f1f"/>
          <w:rtl w:val="0"/>
        </w:rPr>
        <w:t xml:space="preserve"> 20% increase in Service Center visits from Printer-category customers.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Timeline: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Q1:</w:t>
      </w:r>
      <w:r w:rsidDel="00000000" w:rsidR="00000000" w:rsidRPr="00000000">
        <w:rPr>
          <w:color w:val="1f1f1f"/>
          <w:rtl w:val="0"/>
        </w:rPr>
        <w:t xml:space="preserve"> Launch the "One-Stop Printer Warranty" (exclusive to our 15 branches).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Q2:</w:t>
      </w:r>
      <w:r w:rsidDel="00000000" w:rsidR="00000000" w:rsidRPr="00000000">
        <w:rPr>
          <w:color w:val="1f1f1f"/>
          <w:rtl w:val="0"/>
        </w:rPr>
        <w:t xml:space="preserve"> Roll out B2B loyalty programs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Owerri, Enugu, and P/Hacourt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 Needs:</w:t>
      </w:r>
      <w:r w:rsidDel="00000000" w:rsidR="00000000" w:rsidRPr="00000000">
        <w:rPr>
          <w:color w:val="1f1f1f"/>
          <w:rtl w:val="0"/>
        </w:rPr>
        <w:t xml:space="preserve"> Dedicated "Consumable Inventory Managers" for the B2R and Online segments; specialized technician training for high-end Canon MFP units.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an6fwnet1zr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Printer Revenue Growth Comparison (2024 vs. 2025)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color w:val="1f1f1f"/>
          <w:rtl w:val="0"/>
        </w:rPr>
        <w:t xml:space="preserve">This table compares the revenue generated from Printers across all operational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520"/>
        <w:gridCol w:w="2520"/>
        <w:gridCol w:w="1920"/>
        <w:tblGridChange w:id="0">
          <w:tblGrid>
            <w:gridCol w:w="1800"/>
            <w:gridCol w:w="2520"/>
            <w:gridCol w:w="2520"/>
            <w:gridCol w:w="19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2024 Printer Revenue (₦)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2025 Printer Revenue (₦)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Revenue Growth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Abakaliki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12,138,061.00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14,791,803.00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+21.86%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Enugu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58,006,000.00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47,089,000.00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-18.82%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Adepele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138,142,330.29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223,345,544.00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+61.68%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Obaakran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118,521,410.00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134,809,742.00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+13.74%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Owerri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35,622,500.00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40,642,863.00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+14.09%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P/Harcourt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98,474,900.00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85,221,400.00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-13.46%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Utako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82,416,100.00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79,214,100.00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-3.89%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114,210,000.00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155,420,000.00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+36.08%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12,148,000.00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18,520,000.00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+52.45%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41,200,500.00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38,910,200.00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-5.56%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68,900,000.00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72,400,000.00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+5.08%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2,410,000.00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3,100,000.00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+28.63%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B2R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45,200,000.00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50,100,000.00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+10.84%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18,900,000.00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22,400,000.00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+18.52%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9,450,000.00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11,200,000.00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+18.52%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1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PRINTER REVENUE GROWTH ANALYSIS (2024 vs. 2025)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TOP 5 PERFORMERS (Highest Growth):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Adepele              | 2024: ₦ 138.14M,</w:t>
        <w:tab/>
        <w:t xml:space="preserve">2025: ₦ 223.35M, </w:t>
        <w:tab/>
        <w:t xml:space="preserve">Growth:   61.68%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Online               | 2024: ₦  12.15M,</w:t>
        <w:tab/>
        <w:t xml:space="preserve">2025: ₦  18.52M,</w:t>
        <w:tab/>
        <w:t xml:space="preserve">Growth:   52.45%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B2B                  | 2024: ₦ 114.21M,</w:t>
        <w:tab/>
        <w:t xml:space="preserve">2025: ₦ 155.42M,</w:t>
        <w:tab/>
        <w:t xml:space="preserve">Growth:   36.08%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Service Center       | 2024: ₦   2.41M,</w:t>
        <w:tab/>
        <w:t xml:space="preserve">2025: ₦   3.10M,</w:t>
        <w:tab/>
        <w:t xml:space="preserve">Growth:   28.63%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Abakaliki            | 2024: ₦  12.14M,</w:t>
        <w:tab/>
        <w:t xml:space="preserve">2025: ₦  14.79M,</w:t>
        <w:tab/>
        <w:t xml:space="preserve">Growth:   21.86%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BOTTOM 5 PERFORMERS (Lowest Growth/Contraction):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Wuse                 | 2024: ₦  68.90M,</w:t>
        <w:tab/>
        <w:t xml:space="preserve">2025: ₦  72.40M,</w:t>
        <w:tab/>
        <w:t xml:space="preserve">Growth:    5.08%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Utako                | 2024: ₦  82.42M,</w:t>
        <w:tab/>
        <w:t xml:space="preserve">2025: ₦  79.21M,</w:t>
        <w:tab/>
        <w:t xml:space="preserve">Growth:   -3.89%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Asaba                | 2024: ₦  41.20M,</w:t>
        <w:tab/>
        <w:t xml:space="preserve">2025: ₦  38.91M,</w:t>
        <w:tab/>
        <w:t xml:space="preserve">Growth:   -5.56%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P/Harcourt           | 2024: ₦  98.47M,</w:t>
        <w:tab/>
        <w:t xml:space="preserve">2025: ₦  85.22M,</w:t>
        <w:tab/>
        <w:t xml:space="preserve">Growth:  -13.46%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Enugu                | 2024: ₦  58.01M,</w:t>
        <w:tab/>
        <w:t xml:space="preserve">2025: ₦  47.09M,</w:t>
        <w:tab/>
        <w:t xml:space="preserve">Growth:  -18.82%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 &amp; HIGHLIGHT CALLOUTS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★ </w:t>
      </w:r>
      <w:r w:rsidDel="00000000" w:rsidR="00000000" w:rsidRPr="00000000">
        <w:rPr>
          <w:b w:val="1"/>
          <w:bCs w:val="1"/>
          <w:rtl w:val="0"/>
        </w:rPr>
        <w:t xml:space="preserve">TOP PERFORMER: Adepele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Growth: 61.68%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Revenue 2024: ₦138.14M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Revenue 2025: ₦223.35M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Additional Revenue: ₦85.20M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★ </w:t>
      </w:r>
      <w:r w:rsidDel="00000000" w:rsidR="00000000" w:rsidRPr="00000000">
        <w:rPr>
          <w:b w:val="1"/>
          <w:bCs w:val="1"/>
          <w:rtl w:val="0"/>
        </w:rPr>
        <w:t xml:space="preserve">EMERGING HUB: Online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Growth: 52.45%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Revenue 2024: ₦12.15M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Revenue 2025: ₦18.52M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Additional Revenue: ₦6.37M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⚠ CONTRACTING BRANCHES</w:t>
      </w:r>
      <w:r w:rsidDel="00000000" w:rsidR="00000000" w:rsidRPr="00000000">
        <w:rPr>
          <w:rtl w:val="0"/>
        </w:rPr>
        <w:t xml:space="preserve"> (4 branches):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1. Utako                | Contraction:   -3.89%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2. Asaba                | Contraction:   -5.56%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3. P/Harcourt           | Contraction:  -13.46%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4. Enugu                | Contraction:  -18.82%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SUMMARY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Revenue 2024:     ₦    855.74M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Total Revenue 2025:     ₦    997.16M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Overall Growth:              16.53%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Additional Revenue:     ₦    141.42M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Printer revenue is shifting toward 'Online' and 'Adepele' hubs,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while traditional hubs like Enugu and P/Harcourt saw a contraction.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