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E5F29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Кейс</w:t>
      </w:r>
      <w:r w:rsidRPr="00CC2345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EE50E8">
        <w:rPr>
          <w:rFonts w:ascii="Times New Roman" w:hAnsi="Times New Roman" w:cs="Times New Roman"/>
          <w:b/>
          <w:bCs/>
          <w:u w:val="single"/>
        </w:rPr>
        <w:t>9. Франсиско Корреа, Испания</w:t>
      </w:r>
    </w:p>
    <w:p w14:paraId="0095967E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1. Базовые данные</w:t>
      </w:r>
    </w:p>
    <w:p w14:paraId="05BB1726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Государство:</w:t>
      </w:r>
      <w:r w:rsidRPr="00E962AA">
        <w:rPr>
          <w:rFonts w:ascii="Times New Roman" w:hAnsi="Times New Roman" w:cs="Times New Roman"/>
        </w:rPr>
        <w:t xml:space="preserve"> Испания.</w:t>
      </w:r>
    </w:p>
    <w:p w14:paraId="7573C932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Юрисдикция уголовного разбирательства:</w:t>
      </w:r>
      <w:r w:rsidRPr="00E962AA">
        <w:rPr>
          <w:rFonts w:ascii="Times New Roman" w:hAnsi="Times New Roman" w:cs="Times New Roman"/>
        </w:rPr>
        <w:t xml:space="preserve"> Испания, в рамках расследования и судебного рассмотрения в системе Audiencia Nacional, с последующей проверкой в Верховном суде Испании.</w:t>
      </w:r>
    </w:p>
    <w:p w14:paraId="75FA77EF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Годы развития дела:</w:t>
      </w:r>
      <w:r w:rsidRPr="00E962AA">
        <w:rPr>
          <w:rFonts w:ascii="Times New Roman" w:hAnsi="Times New Roman" w:cs="Times New Roman"/>
        </w:rPr>
        <w:t xml:space="preserve"> 2009–2020 гг., при том что сама коррупционная схема, ставшая предметом первого крупного приговора по делу Gürtel, охватывала в основном период 1999–2005 гг.</w:t>
      </w:r>
    </w:p>
    <w:p w14:paraId="24D7F4A7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Уровень управления:</w:t>
      </w:r>
      <w:r w:rsidRPr="00E962AA">
        <w:rPr>
          <w:rFonts w:ascii="Times New Roman" w:hAnsi="Times New Roman" w:cs="Times New Roman"/>
        </w:rPr>
        <w:t xml:space="preserve"> устойчивый коррупционный узел на стыке частного бизнеса и государственного управления, связанный с взаимодействием предпринимательской группы Франсиско Корреа с должностными лицами и политическими структурами.</w:t>
      </w:r>
    </w:p>
    <w:p w14:paraId="0BD162A5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>Отрасль риска:</w:t>
      </w:r>
      <w:r w:rsidRPr="00E962AA">
        <w:rPr>
          <w:rFonts w:ascii="Times New Roman" w:hAnsi="Times New Roman" w:cs="Times New Roman"/>
        </w:rPr>
        <w:t xml:space="preserve"> государственные и муниципальные закупки, контрактование услуг, организация публичных мероприятий, посредничество при распределении подрядов, движение нелегальных комиссий и сокрытие преступных доходов.</w:t>
      </w:r>
    </w:p>
    <w:p w14:paraId="7AC1FB5A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  <w:i/>
          <w:iCs/>
          <w:u w:val="single"/>
        </w:rPr>
        <w:t xml:space="preserve">Тип коррупционного поведения: </w:t>
      </w:r>
      <w:r w:rsidRPr="00E962AA">
        <w:rPr>
          <w:rFonts w:ascii="Times New Roman" w:hAnsi="Times New Roman" w:cs="Times New Roman"/>
        </w:rPr>
        <w:t>создание и руководство разветвлённой сетью компаний и посредников, через которую обеспечивалось получение незаконных выгод от публичных контрактов посредством подкупа, фиктивного документооборота, незаконных комиссий и последующего сокрытия происхождения денежных средств.</w:t>
      </w:r>
    </w:p>
    <w:p w14:paraId="7ED49A5C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2. Фабула дела</w:t>
      </w:r>
    </w:p>
    <w:p w14:paraId="3D32C690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Согласно официальным материалам испанской прокуратуры и судебных органов, речь шла о деятельности личной и корпоративной группы, возглавляемой Франсиско Корреа, основная функция которой состояла в извлечении незаконной выгоды из публичных средств через предоставление вознаграждений должностным лицам и представителям власти, а также последующее сокрытие полученных доходов. В материалах дела указывалось, что эта деятельность носила не эпизодический, а длительный и системный характер.</w:t>
      </w:r>
    </w:p>
    <w:p w14:paraId="5FF867FD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Судебные материалы, опубликованные Генеральным советом судебной власти Испании, описывают целую операционную схему: группа Корреа добивалась незаконных контрактов для своих компаний, использовала сеть обществ для движения средств, оформляла фиктивное выставление счетов, скрывала комиссии, обеспечивала нерегулярное предоставление подрядов и выводила незаконно полученные суммы из-под контроля налоговых и иных органов. В числе территорий и уровней, затронутых расследованием первой эпохи дела Gürtel, упоминались муниципалитеты Махадаонда, Посуэло-де-Аларкон, Мадрид, структуры автономных сообществ и иные эпизоды, показывавшие широкую географию и административную глубину схемы.</w:t>
      </w:r>
    </w:p>
    <w:p w14:paraId="57BA4168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</w:rPr>
        <w:t xml:space="preserve">Особенность данного кейса состоит в том, что предметом коррупционного обмена были не только отдельные взятки за разовые действия, а сама система доступа к государственным ресурсам. Франсиско Корреа, по официальным формулировкам судебных органов, рассматривался как лидер сети, вокруг которой строилась инфраструктура незаконного контрактования, движения фиктивных платежей и легализации доходов. Поэтому дело Корреа представляет собой показательный пример коррупции, в которой частный </w:t>
      </w:r>
      <w:r w:rsidRPr="00E962AA">
        <w:rPr>
          <w:rFonts w:ascii="Times New Roman" w:hAnsi="Times New Roman" w:cs="Times New Roman"/>
        </w:rPr>
        <w:lastRenderedPageBreak/>
        <w:t xml:space="preserve">предпринимательский центр фактически организует </w:t>
      </w:r>
      <w:r w:rsidRPr="00094F3D">
        <w:rPr>
          <w:rFonts w:ascii="Times New Roman" w:hAnsi="Times New Roman" w:cs="Times New Roman"/>
        </w:rPr>
        <w:t>устойчивый рынок политико-административного влияния.</w:t>
      </w:r>
    </w:p>
    <w:p w14:paraId="1F6C0D39" w14:textId="77777777" w:rsidR="00B35267" w:rsidRPr="00094F3D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094F3D">
        <w:rPr>
          <w:rFonts w:ascii="Times New Roman" w:hAnsi="Times New Roman" w:cs="Times New Roman"/>
          <w:b/>
          <w:bCs/>
          <w:i/>
          <w:iCs/>
        </w:rPr>
        <w:t>3. Правовая квалификация</w:t>
      </w:r>
    </w:p>
    <w:p w14:paraId="0F440067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С точки зрения уголовного права первая крупная судебная стадия дела завершилась тем, что Audiencia Nacional признала наличие в рассматриваемой части дела Gürtel целого комплекса преступлений: незаконного объединения, мошенничества против публичной администрации, активного и пассивного взяточничества, подделки коммерческих документов, растраты публичных средств, вынесения заведомо неправомерных решений, отмывания денег, налоговых преступлений, торговли влиянием, присвоения чужого имущества, незаконных поборов и покушения на процессуальное мошенничество.</w:t>
      </w:r>
    </w:p>
    <w:p w14:paraId="3ED027D7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Позднее Верховный суд Испании в целом подтвердил правовую рамку этого дела и указал, что в данной части процесса подтверждается совершение преступлений взяточничества, подделки коммерческих документов, растраты публичных средств, вынесения неправомерных решений, незаконного объединения, мошенничества против администрации, отмывания денег, налоговых преступлений, торговли влиянием, присвоения и незаконных поборов. Для антикоррупционного анализа это особенно важно, поскольку дело демонстрирует не один узкий состав, а сочетание коррупции, экономических преступлений и инструментов сокрытия доходов внутри единой схемы.</w:t>
      </w:r>
    </w:p>
    <w:p w14:paraId="52953454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Применительно к фигуре Франсиско Корреа это означает, что он рассматривался не как периферийный посредник, а как руководящее лицо в организованной системе, где коррупционный результат достигался через совокупность преступных действий: подкуп, манипуляцию контрактами, фиктивный документооборот, сокрытие прибыли и вывод средств. Такая конструкция особенно показательна для анализа сложной коррупции в государстве, когда незаконная выгода неотделима от инфраструктуры её извлечения и маскировки.</w:t>
      </w:r>
    </w:p>
    <w:p w14:paraId="41055075" w14:textId="77777777" w:rsidR="00B35267" w:rsidRPr="00094F3D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094F3D">
        <w:rPr>
          <w:rFonts w:ascii="Times New Roman" w:hAnsi="Times New Roman" w:cs="Times New Roman"/>
          <w:b/>
          <w:bCs/>
          <w:i/>
          <w:iCs/>
        </w:rPr>
        <w:t>4. Ход дела</w:t>
      </w:r>
    </w:p>
    <w:p w14:paraId="03EC7F76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В официальных материалах судебной власти Испании зафиксировано, что в 2014 году судья выделил первую эпоху дела Gürtel в отдельное производство, чтобы ускорить рассмотрение эпизодов, относящихся к 1995–2005 гг., и передать к суду 45 обвиняемых. При этом подчёркивалось, что расследование уже включало многочисленные экспертные материалы и 183 международные судебные поручения в 21 страну, что само по себе показывает масштаб и транснациональный характер финансовой части схемы.</w:t>
      </w:r>
    </w:p>
    <w:p w14:paraId="22E27503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24 мая 2018 года Audiencia Nacional вынесла первый ключевой приговор по первой эпохе дела Gürtel. Суд осудил 29 из 37 обвиняемых, а самая высокая мера наказания была назначена именно Франсиско Корреа — 51 год и 11 месяцев лишения свободы. Одновременно судебный орган указал, что Народная партия была признана граждански ответственной как лицо, получившее выгоду от части противоправной деятельности.</w:t>
      </w:r>
    </w:p>
    <w:p w14:paraId="64AFAED5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14 октября 2020 года Верховный суд Испании в целом подтвердил приговор Audiencia Nacional, внеся лишь отдельные корректировки в наказания и штрафы. В отношении Франсиско Корреа окончательная санкция была определена в 51 год лишения свободы вместо 51 года и 11 месяцев, в том числе с учётом признанной смягчающей роли его показаний в ходе судебного разбирательства. Тем самым ключевая линия обвинения, общая конструкция дела и положение Корреа как лидера сети получили окончательное подтверждение на высшем судебном уровне.</w:t>
      </w:r>
    </w:p>
    <w:p w14:paraId="42D30ACE" w14:textId="77777777" w:rsidR="00B35267" w:rsidRPr="00094F3D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094F3D">
        <w:rPr>
          <w:rFonts w:ascii="Times New Roman" w:hAnsi="Times New Roman" w:cs="Times New Roman"/>
          <w:b/>
          <w:bCs/>
          <w:i/>
          <w:iCs/>
        </w:rPr>
        <w:lastRenderedPageBreak/>
        <w:t>5. Последствия</w:t>
      </w:r>
    </w:p>
    <w:p w14:paraId="35524A1E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Персональные последствия для Франсиско Корреа были максимально жёсткими. Он получил самую высокую меру наказания среди осуждённых по первой эпохе дела Gürtel: сначала 51 год и 11 месяцев лишения свободы, а затем 51 год после пересмотра в Верховном суде. Уже сам этот итог показывает, что испанская судебная система рассматривала его не как второстепенного участника, а как центральную фигуру всей коррупционной схемы.</w:t>
      </w:r>
    </w:p>
    <w:p w14:paraId="30F22D1A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Но значение этого дела выходит далеко за пределы судьбы одного человека. Приговор по делу Gürtel стал одним из наиболее значимых подтверждений существования в Испании масштабной схемы коррупционного взаимодействия между частным бизнесом, публичным контрактованием и политической средой. В результате дело Корреа стало не только примером индивидуальной уголовной ответственности, но и символом системной коррупции, затрагивающей саму логику распределения публичных ресурсов.</w:t>
      </w:r>
    </w:p>
    <w:p w14:paraId="55B90DDE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6. Институциональные эффекты</w:t>
      </w:r>
    </w:p>
    <w:p w14:paraId="3755EC2B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Институциональный эффект этого кейса был исключительным. Уже через несколько дней после публикации приговора по первой эпохе дела Gürtel в официальном бюллетене Конгресса депутатов была опубликована инициатива о вынесении вотума недоверия правительству Мариано Рахоя. В тексте прямо указывалось, что установленная в приговоре система институциональной коррупции серьёзно затрагивает доверие к председателю правительства, самому правительству и достоинству испанской демократии.</w:t>
      </w:r>
    </w:p>
    <w:p w14:paraId="76520463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1 июня 2018 года Конгресс депутатов одобрил вотум недоверия: 180 голосов «за», 169 «против» и 1 воздержавшийся. Тем самым дело Gürtel и, соответственно, уголовно подтверждённая деятельность группы Франсиско Корреа привели не только к уголовным санкциям, но и к прямому политико-конституционному последствию в форме смены правительства. Для антикоррупционного анализа это особенно важно, поскольку показывает, что крупное коррупционное дело способно влиять не только на сферу уголовной юстиции, но и на архитектуру политической ответственности в государстве.</w:t>
      </w:r>
    </w:p>
    <w:p w14:paraId="437F30D7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Кроме того, дело Корреа наглядно продемонстрировало институциональную уязвимость публичных закупок и контрактных процедур. Судебные материалы описывали целую систему фиктивного выставления счетов, компаний-прокладок, скрытых комиссий и нерегулярных подрядов, а значит, показали, что коррупционные риски особенно высоки там, где публичное решение соединяется с технически сложным финансовым документооборотом и слабым контролем за реальными бенефициарами контрактов.</w:t>
      </w:r>
    </w:p>
    <w:p w14:paraId="01819116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962AA">
        <w:rPr>
          <w:rFonts w:ascii="Times New Roman" w:hAnsi="Times New Roman" w:cs="Times New Roman"/>
          <w:b/>
          <w:bCs/>
          <w:i/>
          <w:iCs/>
        </w:rPr>
        <w:t>7. Выводы и уроки для антикоррупционной политики</w:t>
      </w:r>
    </w:p>
    <w:p w14:paraId="62A79876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Кейс Франсиско Корреа показывает, что одна из наиболее опасных форм коррупции в государстве возникает тогда, когда вокруг публичных контрактов формируется устойчивая частная сеть, способная одновременно подкупать должностных лиц, организовывать фиктивный документооборот, скрывать незаконные доходы и воспроизводить схему на протяжении длительного времени. В таком случае коррупция перестаёт быть набором отдельных эпизодов и превращается в параллельный механизм распределения государственных ресурсов.</w:t>
      </w:r>
    </w:p>
    <w:p w14:paraId="5290CBCC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 xml:space="preserve">Этот кейс также демонстрирует, что наиболее уязвимыми являются не только высшие политические решения, но и повседневные процедуры контрактования, выставления счетов, согласования услуг и контроля исполнения обязательств. Если государство не видит связь </w:t>
      </w:r>
      <w:r w:rsidRPr="00E962AA">
        <w:rPr>
          <w:rFonts w:ascii="Times New Roman" w:hAnsi="Times New Roman" w:cs="Times New Roman"/>
        </w:rPr>
        <w:lastRenderedPageBreak/>
        <w:t>между формально корректным документооборотом и реальной коррупционной мотивацией, незаконная выгода может годами маскироваться под обычную хозяйственную деятельность.</w:t>
      </w:r>
    </w:p>
    <w:p w14:paraId="17E729C1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E962AA">
        <w:rPr>
          <w:rFonts w:ascii="Times New Roman" w:hAnsi="Times New Roman" w:cs="Times New Roman"/>
        </w:rPr>
        <w:t>Для эффективной профилактики подобных схем необходимы не только уголовные запреты на взяточничество, но и прозрачность закупочных процедур, контроль аффилированных компаний, проверка цепочек движения средств, эффективная налоговая и финансовая аналитика, а также реальная политическая ответственность за институциональные последствия коррупции. Испанский опыт показывает, что крупное коррупционное дело способно стать тестом не только для суда и прокуратуры, но и для зрелости всей системы публичной власти.</w:t>
      </w:r>
    </w:p>
    <w:p w14:paraId="1A398005" w14:textId="77777777" w:rsidR="00B35267" w:rsidRPr="00CC2345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CC2345">
        <w:rPr>
          <w:rFonts w:ascii="Times New Roman" w:hAnsi="Times New Roman" w:cs="Times New Roman"/>
          <w:b/>
          <w:bCs/>
          <w:i/>
          <w:iCs/>
          <w:lang w:val="en-US"/>
        </w:rPr>
        <w:t xml:space="preserve">8. </w:t>
      </w:r>
      <w:r w:rsidRPr="00094F3D">
        <w:rPr>
          <w:rFonts w:ascii="Times New Roman" w:hAnsi="Times New Roman" w:cs="Times New Roman"/>
          <w:b/>
          <w:bCs/>
          <w:i/>
          <w:iCs/>
        </w:rPr>
        <w:t>Источники</w:t>
      </w:r>
    </w:p>
    <w:p w14:paraId="2AF10E6B" w14:textId="77777777" w:rsidR="00B35267" w:rsidRPr="00CC2345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 xml:space="preserve">1. Consejo General del Poder Judicial. El juez abre una pieza separada sobre la primera época de Gürtel (1995-2005) para acelerar el enjuiciamiento de 45 imputados. — 29.07.2014. — URL: </w:t>
      </w:r>
      <w:hyperlink r:id="rId4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https://www.poderjudicial.es/cgpj/es/Poder-Judicial/Noticias-Judiciales/El-juez-abre-una-pieza-separada-sobre-la-primera-epoca-de-Gurtel--1995-2005--para-acelerar-el-enjuiciamiento-de-45-imputados</w:t>
        </w:r>
      </w:hyperlink>
    </w:p>
    <w:p w14:paraId="7CC2E719" w14:textId="77777777" w:rsidR="00B35267" w:rsidRPr="00CC2345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>2. Consejo General del Poder Judicial. La Audiencia Nacional condena a penas de hasta 51 años de prisión a 29 de los 37 acusados en el “caso Gürtel”. — 24.05.2018. — URL:</w:t>
      </w:r>
      <w:r w:rsidRPr="00E962AA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https://www.poderjudicial.es/cgpj/es/Poder-Judicial/Audiencia-Nacional/Noticias-Judiciales/La-Audiencia-Nacional-condena-a-penas-de-hasta-51-anos-de-prision-a-29-de-los-37-acusados-en-el--caso-Gurtel-</w:t>
        </w:r>
      </w:hyperlink>
    </w:p>
    <w:p w14:paraId="5C28AE2E" w14:textId="77777777" w:rsidR="00B35267" w:rsidRPr="00CC2345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 xml:space="preserve">3. Consejo General del Poder Judicial. El Tribunal Supremo confirma penas de hasta 51 años de prisión para los procesados en el “caso Gürtel”. — 14.10.2020. — URL: </w:t>
      </w:r>
      <w:hyperlink r:id="rId6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https://www.poderjudicial.es/cgpj/es/Poder-Judicial/Noticias-Judiciales/El-Tribunal-Supremo-confirma-penas-de-hasta-51-anos-de-prision-para-los-procesados-en-el--caso-Gurtel-</w:t>
        </w:r>
      </w:hyperlink>
    </w:p>
    <w:p w14:paraId="1FAEFD8B" w14:textId="77777777" w:rsidR="00B35267" w:rsidRPr="00E962AA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CC2345">
        <w:rPr>
          <w:rFonts w:ascii="Times New Roman" w:hAnsi="Times New Roman" w:cs="Times New Roman"/>
          <w:lang w:val="en-US"/>
        </w:rPr>
        <w:t xml:space="preserve">4. Fiscalía General del Estado. Principales causas en las que interviene la Fiscalía Especial. </w:t>
      </w:r>
      <w:r w:rsidRPr="00E962AA">
        <w:rPr>
          <w:rFonts w:ascii="Times New Roman" w:hAnsi="Times New Roman" w:cs="Times New Roman"/>
        </w:rPr>
        <w:t xml:space="preserve">Memoria 2018. Раздел по делу Gürtel. — URL: </w:t>
      </w:r>
      <w:hyperlink r:id="rId7" w:history="1">
        <w:r w:rsidRPr="00C23ECB">
          <w:rPr>
            <w:rStyle w:val="a3"/>
            <w:rFonts w:ascii="Times New Roman" w:hAnsi="Times New Roman" w:cs="Times New Roman"/>
          </w:rPr>
          <w:t>https://www.fiscal.es/memorias/memoria2018/FISCALIA_SITE/recursos/pdf/capitulo_II/cap_II_6_5.pdf</w:t>
        </w:r>
      </w:hyperlink>
    </w:p>
    <w:p w14:paraId="17418761" w14:textId="77777777" w:rsidR="00B35267" w:rsidRPr="00CC2345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 xml:space="preserve">5. Congreso de los Diputados. Boletín Oficial de las Cortes Generales. Serie D, núm. 358, 29.05.2018. Moción de censura al Gobierno presidido por don Mariano Rajoy Brey. — URL: </w:t>
      </w:r>
      <w:hyperlink r:id="rId8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https://www.congreso.es/public_oficiales/L12/CONG/BOCG/D/BOCG-12-D-358.PDF</w:t>
        </w:r>
      </w:hyperlink>
    </w:p>
    <w:p w14:paraId="47F34B76" w14:textId="77777777" w:rsidR="00B35267" w:rsidRPr="00CC2345" w:rsidRDefault="00B35267" w:rsidP="00B352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val="en-US"/>
        </w:rPr>
      </w:pPr>
      <w:r w:rsidRPr="00CC2345">
        <w:rPr>
          <w:rFonts w:ascii="Times New Roman" w:hAnsi="Times New Roman" w:cs="Times New Roman"/>
          <w:lang w:val="en-US"/>
        </w:rPr>
        <w:t xml:space="preserve">6. Congreso de los Diputados. Diario de Sesiones del Congreso de los Diputados. Pleno y Diputación Permanente, núm. 127, 01.06.2018. — URL: </w:t>
      </w:r>
      <w:hyperlink r:id="rId9" w:history="1">
        <w:r w:rsidRPr="00CC2345">
          <w:rPr>
            <w:rStyle w:val="a3"/>
            <w:rFonts w:ascii="Times New Roman" w:hAnsi="Times New Roman" w:cs="Times New Roman"/>
            <w:lang w:val="en-US"/>
          </w:rPr>
          <w:t>https://www.congreso.es/public_oficiales/L12/CONG/DS/PL/DSCD-12-PL-127.PDF</w:t>
        </w:r>
      </w:hyperlink>
      <w:r w:rsidRPr="00CC2345">
        <w:rPr>
          <w:rFonts w:ascii="Times New Roman" w:hAnsi="Times New Roman" w:cs="Times New Roman"/>
          <w:lang w:val="en-US"/>
        </w:rPr>
        <w:t xml:space="preserve"> </w:t>
      </w:r>
    </w:p>
    <w:p w14:paraId="6D4EA784" w14:textId="77777777" w:rsidR="007C1520" w:rsidRPr="00B35267" w:rsidRDefault="007C1520">
      <w:pPr>
        <w:rPr>
          <w:lang w:val="en-US"/>
        </w:rPr>
      </w:pPr>
    </w:p>
    <w:sectPr w:rsidR="007C1520" w:rsidRPr="00B35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67"/>
    <w:rsid w:val="00657B44"/>
    <w:rsid w:val="007C1520"/>
    <w:rsid w:val="00B3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20FA"/>
  <w15:chartTrackingRefBased/>
  <w15:docId w15:val="{C1DF8276-5AED-4C4C-AB8C-DA6DC7D6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26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52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greso.es/public_oficiales/L12/CONG/BOCG/D/BOCG-12-D-358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iscal.es/memorias/memoria2018/FISCALIA_SITE/recursos/pdf/capitulo_II/cap_II_6_5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derjudicial.es/cgpj/es/Poder-Judicial/Noticias-Judiciales/El-Tribunal-Supremo-confirma-penas-de-hasta-51-anos-de-prision-para-los-procesados-en-el--caso-Gurtel-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oderjudicial.es/cgpj/es/Poder-Judicial/Audiencia-Nacional/Noticias-Judiciales/La-Audiencia-Nacional-condena-a-penas-de-hasta-51-anos-de-prision-a-29-de-los-37-acusados-en-el--caso-Gurtel-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oderjudicial.es/cgpj/es/Poder-Judicial/Noticias-Judiciales/El-juez-abre-una-pieza-separada-sobre-la-primera-epoca-de-Gurtel--1995-2005--para-acelerar-el-enjuiciamiento-de-45-imputados" TargetMode="External"/><Relationship Id="rId9" Type="http://schemas.openxmlformats.org/officeDocument/2006/relationships/hyperlink" Target="https://www.congreso.es/public_oficiales/L12/CONG/DS/PL/DSCD-12-PL-12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Молодиченко</dc:creator>
  <cp:keywords/>
  <dc:description/>
  <cp:lastModifiedBy>Никита Молодиченко</cp:lastModifiedBy>
  <cp:revision>1</cp:revision>
  <dcterms:created xsi:type="dcterms:W3CDTF">2026-05-02T16:46:00Z</dcterms:created>
  <dcterms:modified xsi:type="dcterms:W3CDTF">2026-05-02T16:46:00Z</dcterms:modified>
</cp:coreProperties>
</file>