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25DDF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E50E8">
        <w:rPr>
          <w:rFonts w:ascii="Times New Roman" w:hAnsi="Times New Roman" w:cs="Times New Roman"/>
          <w:b/>
          <w:bCs/>
          <w:u w:val="single"/>
        </w:rPr>
        <w:t>Кейс 8: Ливиу Драгня, Румыния</w:t>
      </w:r>
    </w:p>
    <w:p w14:paraId="5C2827A0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1. Базовые данные</w:t>
      </w:r>
    </w:p>
    <w:p w14:paraId="0B850975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Государство:</w:t>
      </w:r>
      <w:r w:rsidRPr="00EE50E8">
        <w:rPr>
          <w:rFonts w:ascii="Times New Roman" w:hAnsi="Times New Roman" w:cs="Times New Roman"/>
        </w:rPr>
        <w:t xml:space="preserve"> Румыния.</w:t>
      </w:r>
    </w:p>
    <w:p w14:paraId="09C8894D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Юрисдикция уголовного разбирательства:</w:t>
      </w:r>
      <w:r w:rsidRPr="00EE50E8">
        <w:rPr>
          <w:rFonts w:ascii="Times New Roman" w:hAnsi="Times New Roman" w:cs="Times New Roman"/>
        </w:rPr>
        <w:t xml:space="preserve"> Румыния, в рамках расследования Национального антикоррупционного управления Румынии «DNA» и судебного рассмотрения в Высоком кассационном суде и суде справедливости Румынии.</w:t>
      </w:r>
    </w:p>
    <w:p w14:paraId="6D48007F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Годы развития дела:</w:t>
      </w:r>
      <w:r w:rsidRPr="00EE50E8">
        <w:rPr>
          <w:rFonts w:ascii="Times New Roman" w:hAnsi="Times New Roman" w:cs="Times New Roman"/>
        </w:rPr>
        <w:t xml:space="preserve"> 2016–2019 гг., при том что сама схема, описанная в материалах обвинения, охватывала период с июля 2006 года по 2013 год.</w:t>
      </w:r>
    </w:p>
    <w:p w14:paraId="7E480ACF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Уровень управления:</w:t>
      </w:r>
      <w:r w:rsidRPr="00EE50E8">
        <w:rPr>
          <w:rFonts w:ascii="Times New Roman" w:hAnsi="Times New Roman" w:cs="Times New Roman"/>
        </w:rPr>
        <w:t xml:space="preserve"> высший регионально-политический уровень государственного управления. На момент инкриминируемых деяний Ливиу Драгня являлся председателем уездного совета Телеорман и одновременно председателем уездной организации политической партии.</w:t>
      </w:r>
    </w:p>
    <w:p w14:paraId="2CD39F03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Отрасль риска:</w:t>
      </w:r>
      <w:r w:rsidRPr="00EE50E8">
        <w:rPr>
          <w:rFonts w:ascii="Times New Roman" w:hAnsi="Times New Roman" w:cs="Times New Roman"/>
        </w:rPr>
        <w:t xml:space="preserve"> государственная социальная сфера, кадровое управление в подведомственном публичном учреждении, использование партийного влияния на региональный административный аппарат.</w:t>
      </w:r>
    </w:p>
    <w:p w14:paraId="4D87FAA6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Тип коррупционного поведения:</w:t>
      </w:r>
      <w:r w:rsidRPr="00EE50E8">
        <w:rPr>
          <w:rFonts w:ascii="Times New Roman" w:hAnsi="Times New Roman" w:cs="Times New Roman"/>
        </w:rPr>
        <w:t xml:space="preserve"> использование политического и административного влияния для незаконного сохранения в штате государственного учреждения лиц, которые фактически не исполняли служебные обязанности, но получали заработную плату за счёт публичных средств.</w:t>
      </w:r>
    </w:p>
    <w:p w14:paraId="74A793DC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2. Фабула дела</w:t>
      </w:r>
    </w:p>
    <w:p w14:paraId="5BE04BCB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По официальной версии DNA, дело касалось схемы фиктивного трудоустройства двух лиц — Адрианы Боторогеану и Анисы-Никулины Стойки — в Генеральной дирекции социальной помощи и защиты ребёнка Телеорман «DGASPC Teleorman». Формально они числились работниками этого публичного учреждения, однако фактически не являлись на работу и не выполняли трудовые функции, поскольку в действительности работали в уездной организации партии, которую возглавлял Ливиу Драгня. DNA прямо указало, что этот факт был известен самому Драгне.</w:t>
      </w:r>
    </w:p>
    <w:p w14:paraId="46C881BD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Согласно обвинению, сохранение этих лиц в штатном расписании и выплата им заработной платы стали возможны благодаря действиям руководства DGASPC Teleorman и ряда должностных лиц учреждения, которые не приняли мер реагирования на отсутствие работников, а в ряде случаев оформляли и подписывали документы, создававшие видимость их реальной трудовой деятельности: табели присутствия, должностные документы, оценочные формы и иные служебные бумаги. В результате, по данным DNA, двум фиктивно оформленным работницам были незаконно выплачены денежные средства на общую сумму 108 612 леев, а само учреждение заявило гражданский иск в уголовном процессе.</w:t>
      </w:r>
    </w:p>
    <w:p w14:paraId="15260515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 xml:space="preserve">Особенность данного кейса заключается в том, что коррупционный механизм здесь был связан не с классической взяткой в денежной форме от внешнего контрагента, а с политически мотивированным перераспределением публичных ресурсов через кадровый аппарат государственного учреждения. Именно поэтому дело Драгни представляет собой показательный пример коррупции, в которой партийная и административная власть </w:t>
      </w:r>
      <w:r w:rsidRPr="00EE50E8">
        <w:rPr>
          <w:rFonts w:ascii="Times New Roman" w:hAnsi="Times New Roman" w:cs="Times New Roman"/>
        </w:rPr>
        <w:lastRenderedPageBreak/>
        <w:t>соединяются для извлечения неправомерной выгоды за счёт бюджета и искажения нормальной работы социальной системы.</w:t>
      </w:r>
    </w:p>
    <w:p w14:paraId="6E9DACCD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3. Правовая квалификация</w:t>
      </w:r>
    </w:p>
    <w:p w14:paraId="31FB1AD3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>т</w:t>
      </w:r>
      <w:r w:rsidRPr="00EE50E8">
        <w:rPr>
          <w:rFonts w:ascii="Times New Roman" w:hAnsi="Times New Roman" w:cs="Times New Roman"/>
        </w:rPr>
        <w:t>очки зрения уголовного права на стадии направления дела в суд Ливиу Драгне вменялись два состава: подстрекательство к злоупотреблению служебным положением, если публичное должностное лицо получило для себя или для другого лица неправомерную выгоду, и подстрекательство к интеллектуальному подлогу. Такая квалификация прямо указана в официальном сообщении DNA от 15 июля 2016 года о направлении дела в суд.</w:t>
      </w:r>
    </w:p>
    <w:p w14:paraId="0940EF4A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Однако окончательный приговор от 27 мая 2019 года, как это отражено в официальном сообщении DNA о вступившем в силу решении Высокого кассационного суда и суда справедливости, закрепил осуждение Ливиу Драгни к 3 годам и 6 месяцам лишения свободы именно за подстрекательство к злоупотреблению служебным положением, повлёкшему получение неправомерной выгоды. Одновременно суд назначил дополнительные запреты на избрание в публичные органы, занятие должностей, связанных с осуществлением государственной власти, а также выполнение функций того же характера, которыми он воспользовался при совершении преступления.</w:t>
      </w:r>
    </w:p>
    <w:p w14:paraId="1B28AD2C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Для антикоррупционного анализа это особенно важно. Правовая оценка данного дела показывает, что коррупционное поведение может выражаться не только в получении взятки как таковой, но и в использовании политического лидерства для побуждения административного аппарата к незаконному расходованию публичных средств. В этой конструкции коррупционный риск возникает в зоне пересечения партийной власти, государственного учреждения и кадровых решений, которые внешне могут выглядеть как обычное администрирование.</w:t>
      </w:r>
    </w:p>
    <w:p w14:paraId="028828CF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4. Ход дела</w:t>
      </w:r>
    </w:p>
    <w:p w14:paraId="3C924D0A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Официально дело перешло в судебную стадию 15 июля 2016 года, когда DNA сообщило о направлении обвинительного акта в суд. В материалах прокуратуры было указано, что вместе с Ливиу Драгней к ответственности привлекались руководитель DGASPC Teleorman Флоаря Алесу, другие должностные лица учреждения, а также сами фиктивно трудоустроенные лица. Таким образом, расследование с самого начала строилось не как дело против одного политика, а как дело о более широкой административной схеме, в которую были вовлечены руководители и сотрудники подведомственного учреждения.</w:t>
      </w:r>
    </w:p>
    <w:p w14:paraId="53A2492F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13DE64AC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Окончательное решение было вынесено 27 мая 2019 года. Как указано в официальном сообщении DNA, Высокий кассационный суд и суд справедливости приговорил Ливиу Драгню к 3 годам и 6 месяцам лишения свободы. Одновременно были осуждены и другие фигуранты, часть из них — к реальному лишению свободы, часть — к условным срокам, тогда как одна из обвиняемых была оправдана по мотиву отсутствия состава преступления в смысле уголовного закона. Суд также постановил взыскать материальный ущерб и судебные издержки.</w:t>
      </w:r>
    </w:p>
    <w:p w14:paraId="55C8D0BB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 xml:space="preserve">В более широком институциональном контексте дело развивалось на фоне серьёзной напряжённости вокруг румынской судебной реформы и борьбы с коррупцией. Европейская комиссия в октябре 2019 года прямо указала, что в период после ноября 2018 года ей неоднократно приходилось выражать обеспокоенность по поводу отката в области судебной </w:t>
      </w:r>
      <w:r w:rsidRPr="00EE50E8">
        <w:rPr>
          <w:rFonts w:ascii="Times New Roman" w:hAnsi="Times New Roman" w:cs="Times New Roman"/>
        </w:rPr>
        <w:lastRenderedPageBreak/>
        <w:t>реформы и противодействия коррупции, а ключевые институты Румынии должны были подтвердить твёрдую приверженность независимости правосудия и антикоррупционной политике. Это важно для понимания того, что окончательное решение по делу Драгни было вынесено в момент, когда устойчивость всей антикоррупционной системы Румынии находилась под сильным политико-правовым давлением.</w:t>
      </w:r>
    </w:p>
    <w:p w14:paraId="13FC8342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5. Последствия</w:t>
      </w:r>
    </w:p>
    <w:p w14:paraId="59442EFA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Персональные последствия для Ливиу Драгни были крайне серьёзными. Он был окончательно осуждён к 3 годам и 6 месяцам лишения свободы, а также лишён ряда публично-правовых возможностей: права быть избранным в органы власти, занимать должности, связанные с осуществлением государственной власти, и исполнять функции того же характера, которые были использованы при совершении преступления. Кроме того, суд возложил на него солидарную обязанность по возмещению части причинённого материального ущерба и по оплате судебных расходов.</w:t>
      </w:r>
    </w:p>
    <w:p w14:paraId="27CB08E9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Однако значение этого дела выходит далеко за пределы судьбы одного политика. Данный кейс стал наглядной демонстрацией того, что коррупционные схемы в государстве могут строиться не только вокруг государственных закупок, крупных подрядов или прямого подкупа, но и через фиктивное использование кадрового аппарата публичных учреждений в партийных интересах. Тем самым дело Драгни показало, что социальная и административная инфраструктура государства также может становиться объектом политически мотивированного коррупционного захвата.</w:t>
      </w:r>
    </w:p>
    <w:p w14:paraId="33218F30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6. Институциональные эффекты</w:t>
      </w:r>
    </w:p>
    <w:p w14:paraId="297EF549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Институциональный эффект дела Ливиу Драгни следует рассматривать в более широком контексте борьбы Румынии за сохранение антикоррупционного курса. В ноябрьском отчёте 2018 года Европейская комиссия прямо указала, что развитие ситуации поставило под вопрос необратимость достигнутого прогресса в сфере независимости правосудия и борьбы с коррупцией, а среди ключевых рисков были названы давление на судей и прокуроров, политическая критика антикоррупционных институтов и ослабление механизмов сдержек и противовесов.</w:t>
      </w:r>
    </w:p>
    <w:p w14:paraId="0694CAFD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На этом фоне дело Драгни приобрело значение одного из наиболее показательных процессов о коррупции высокого уровня в Румынии. Хотя в цитируемых документах Европейской комиссии оно не разбирается отдельно по существу, из их содержания ясно, что устойчивость системы противодействия коррупции оценивалась именно через способность судебных и прокурорских органов доводить до конца сложные дела высокого политического уровня, несмотря на институциональное давление и законодательную нестабильность. Позднее, в 2021 году, Комиссия уже отметила позитивную тенденцию, новый импульс в работе DNA и необходимость восстановить качество и устойчивость антикоррупционного преследования на высоком уровне.</w:t>
      </w:r>
    </w:p>
    <w:p w14:paraId="153BFABE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Для антикоррупционной политики этот кейс важен ещё и потому, что он показывает уязвимость местного уровня государственного управления. Формально речь шла о региональном учреждении социальной защиты, но фактически дело затронуло системный вопрос: насколько защищён бюджетный и кадровый контур публичной администрации от партийного влияния. Следовательно, коррупционный риск в иностранных государствах может быть сосредоточен не только в центральных органах власти, но и в региональных структурах, если они встроены в политико-патронажную систему.</w:t>
      </w:r>
    </w:p>
    <w:p w14:paraId="390F12A8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lastRenderedPageBreak/>
        <w:t>7. Выводы и уроки для антикоррупционной политики</w:t>
      </w:r>
    </w:p>
    <w:p w14:paraId="124B8363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Кейс Ливиу Драгни показывает, что в иностранных государствах коррупция может принимать форму партийно-административного злоупотребления, когда публичное учреждение фактически используется для финансирования деятельности политической организации. В такой конструкции предметом коррупционного посягательства становятся не разовые решения, а сама кадровая и бюджетная инфраструктура государства.</w:t>
      </w:r>
    </w:p>
    <w:p w14:paraId="75FC23F6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Наиболее уязвимыми оказываются те участки государственного управления, где соединяются политическое влияние, контроль над подведомственным учреждением и слабость повседневного кадрового надзора. Фиктивное трудоустройство, подложные табели, формальные оценки и иные служебные документы могут создавать видимость законности там, где в действительности происходит незаконное расходование публичных средств.</w:t>
      </w:r>
    </w:p>
    <w:p w14:paraId="64FC7AA4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Для эффективной профилактики подобных нарушений государству недостаточно только уголовного запрета. Необходимы устойчивые институциональные гарантии независимости прокуратуры и суда, защищённость антикоррупционных органов от политического давления, прозрачность кадрового учёта в публичных учреждениях и реальный контроль за исполнением трудовых обязанностей. Опыт Румынии показывает, что без сохранения этих гарантий даже сильная антикоррупционная практика может оказаться под угрозой отката.</w:t>
      </w:r>
    </w:p>
    <w:p w14:paraId="44F9E388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8. Источники</w:t>
      </w:r>
    </w:p>
    <w:p w14:paraId="419ABF35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 xml:space="preserve">1. Direcția Națională Anticorupție. Comunicat privind trimiterea în judecată în dosarul DGASPC Teleorman, 15 iulie 2016. — URL: </w:t>
      </w:r>
      <w:hyperlink r:id="rId4" w:history="1">
        <w:r w:rsidRPr="00360781">
          <w:rPr>
            <w:rStyle w:val="a3"/>
            <w:rFonts w:ascii="Times New Roman" w:hAnsi="Times New Roman" w:cs="Times New Roman"/>
          </w:rPr>
          <w:t>https://www.dna.ro/comunicat.xhtml?id=7582</w:t>
        </w:r>
      </w:hyperlink>
      <w:r w:rsidRPr="00E962AA">
        <w:rPr>
          <w:rFonts w:ascii="Times New Roman" w:hAnsi="Times New Roman" w:cs="Times New Roman"/>
        </w:rPr>
        <w:t xml:space="preserve"> </w:t>
      </w:r>
      <w:r w:rsidRPr="00EE50E8">
        <w:rPr>
          <w:rFonts w:ascii="Times New Roman" w:hAnsi="Times New Roman" w:cs="Times New Roman"/>
        </w:rPr>
        <w:t>(дата обращения: 02.05.2026). — Текст: электронный.</w:t>
      </w:r>
    </w:p>
    <w:p w14:paraId="68A6362F" w14:textId="77777777" w:rsidR="00B7694B" w:rsidRPr="00EE50E8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0E8">
        <w:rPr>
          <w:rFonts w:ascii="Times New Roman" w:hAnsi="Times New Roman" w:cs="Times New Roman"/>
        </w:rPr>
        <w:t>2. Direcția Națională Anticorupție. Comunicat privind hotărârea definitivă a Înaltei Curți de Casație și Justiție, decizia penală nr. 142 din 27.05.2019. — URL:</w:t>
      </w:r>
      <w:r w:rsidRPr="00E962AA">
        <w:rPr>
          <w:rFonts w:ascii="Times New Roman" w:hAnsi="Times New Roman" w:cs="Times New Roman"/>
        </w:rPr>
        <w:t xml:space="preserve"> </w:t>
      </w:r>
      <w:hyperlink r:id="rId5" w:history="1">
        <w:r w:rsidRPr="00360781">
          <w:rPr>
            <w:rStyle w:val="a3"/>
            <w:rFonts w:ascii="Times New Roman" w:hAnsi="Times New Roman" w:cs="Times New Roman"/>
          </w:rPr>
          <w:t>https://www.dna.ro/comunicat.xhtml?id=9470</w:t>
        </w:r>
      </w:hyperlink>
      <w:r w:rsidRPr="00E962AA">
        <w:rPr>
          <w:rFonts w:ascii="Times New Roman" w:hAnsi="Times New Roman" w:cs="Times New Roman"/>
        </w:rPr>
        <w:t xml:space="preserve"> </w:t>
      </w:r>
      <w:r w:rsidRPr="00EE50E8">
        <w:rPr>
          <w:rFonts w:ascii="Times New Roman" w:hAnsi="Times New Roman" w:cs="Times New Roman"/>
        </w:rPr>
        <w:t>(дата обращения: 02.05.2026). — Текст: электронный.</w:t>
      </w:r>
    </w:p>
    <w:p w14:paraId="4B79926C" w14:textId="77777777" w:rsidR="00B7694B" w:rsidRPr="00CC2345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  <w:r w:rsidRPr="00CC2345">
        <w:rPr>
          <w:rFonts w:ascii="Times New Roman" w:hAnsi="Times New Roman" w:cs="Times New Roman"/>
          <w:lang w:val="en-US"/>
        </w:rPr>
        <w:t xml:space="preserve">3. European Commission. European Commission’s report on developments in Romania under the Cooperation and Verification Mechanism, 22 October 2019. — URL: </w:t>
      </w:r>
      <w:hyperlink r:id="rId6" w:history="1">
        <w:r w:rsidRPr="00CC2345">
          <w:rPr>
            <w:rStyle w:val="a3"/>
            <w:rFonts w:ascii="Times New Roman" w:hAnsi="Times New Roman" w:cs="Times New Roman"/>
            <w:lang w:val="en-US"/>
          </w:rPr>
          <w:t>https://ec.europa.eu/commission/presscorner/api/files/document/print/en/ip_19_6135/IP_19_6135_EN.pdf</w:t>
        </w:r>
      </w:hyperlink>
      <w:r w:rsidRPr="00E962AA">
        <w:rPr>
          <w:rFonts w:ascii="Times New Roman" w:hAnsi="Times New Roman" w:cs="Times New Roman"/>
          <w:lang w:val="en-US"/>
        </w:rPr>
        <w:t xml:space="preserve"> </w:t>
      </w:r>
      <w:r w:rsidRPr="00CC2345">
        <w:rPr>
          <w:rFonts w:ascii="Times New Roman" w:hAnsi="Times New Roman" w:cs="Times New Roman"/>
          <w:lang w:val="en-US"/>
        </w:rPr>
        <w:t>(</w:t>
      </w:r>
      <w:r w:rsidRPr="00EE50E8">
        <w:rPr>
          <w:rFonts w:ascii="Times New Roman" w:hAnsi="Times New Roman" w:cs="Times New Roman"/>
        </w:rPr>
        <w:t>дата</w:t>
      </w:r>
      <w:r w:rsidRPr="00CC2345">
        <w:rPr>
          <w:rFonts w:ascii="Times New Roman" w:hAnsi="Times New Roman" w:cs="Times New Roman"/>
          <w:lang w:val="en-US"/>
        </w:rPr>
        <w:t xml:space="preserve"> </w:t>
      </w:r>
      <w:r w:rsidRPr="00EE50E8">
        <w:rPr>
          <w:rFonts w:ascii="Times New Roman" w:hAnsi="Times New Roman" w:cs="Times New Roman"/>
        </w:rPr>
        <w:t>обращения</w:t>
      </w:r>
      <w:r w:rsidRPr="00CC2345">
        <w:rPr>
          <w:rFonts w:ascii="Times New Roman" w:hAnsi="Times New Roman" w:cs="Times New Roman"/>
          <w:lang w:val="en-US"/>
        </w:rPr>
        <w:t xml:space="preserve">: 02.05.2026). — </w:t>
      </w:r>
      <w:r w:rsidRPr="00EE50E8">
        <w:rPr>
          <w:rFonts w:ascii="Times New Roman" w:hAnsi="Times New Roman" w:cs="Times New Roman"/>
        </w:rPr>
        <w:t>Текст</w:t>
      </w:r>
      <w:r w:rsidRPr="00CC2345">
        <w:rPr>
          <w:rFonts w:ascii="Times New Roman" w:hAnsi="Times New Roman" w:cs="Times New Roman"/>
          <w:lang w:val="en-US"/>
        </w:rPr>
        <w:t xml:space="preserve">: </w:t>
      </w:r>
      <w:r w:rsidRPr="00EE50E8">
        <w:rPr>
          <w:rFonts w:ascii="Times New Roman" w:hAnsi="Times New Roman" w:cs="Times New Roman"/>
        </w:rPr>
        <w:t>электронный</w:t>
      </w:r>
      <w:r w:rsidRPr="00CC2345">
        <w:rPr>
          <w:rFonts w:ascii="Times New Roman" w:hAnsi="Times New Roman" w:cs="Times New Roman"/>
          <w:lang w:val="en-US"/>
        </w:rPr>
        <w:t>.</w:t>
      </w:r>
    </w:p>
    <w:p w14:paraId="11F321EA" w14:textId="77777777" w:rsidR="00B7694B" w:rsidRPr="00CC2345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  <w:r w:rsidRPr="00CC2345">
        <w:rPr>
          <w:rFonts w:ascii="Times New Roman" w:hAnsi="Times New Roman" w:cs="Times New Roman"/>
          <w:lang w:val="en-US"/>
        </w:rPr>
        <w:t xml:space="preserve">4. European Commission. Report from the Commission to the European Parliament and the Council on Progress in Romania under the Cooperation and Verification Mechanism, COM(2019) 499 final, 22 October 2019. — URL: </w:t>
      </w:r>
      <w:hyperlink r:id="rId7" w:history="1">
        <w:r w:rsidRPr="00CC2345">
          <w:rPr>
            <w:rStyle w:val="a3"/>
            <w:rFonts w:ascii="Times New Roman" w:hAnsi="Times New Roman" w:cs="Times New Roman"/>
            <w:lang w:val="en-US"/>
          </w:rPr>
          <w:t>https://eur-lex.europa.eu/legal-content/DE/TXT/PDF/?uri=CELEX:52019DC0499</w:t>
        </w:r>
      </w:hyperlink>
      <w:r w:rsidRPr="00E962AA">
        <w:rPr>
          <w:rFonts w:ascii="Times New Roman" w:hAnsi="Times New Roman" w:cs="Times New Roman"/>
          <w:lang w:val="en-US"/>
        </w:rPr>
        <w:t xml:space="preserve"> </w:t>
      </w:r>
      <w:r w:rsidRPr="00CC2345">
        <w:rPr>
          <w:rFonts w:ascii="Times New Roman" w:hAnsi="Times New Roman" w:cs="Times New Roman"/>
          <w:lang w:val="en-US"/>
        </w:rPr>
        <w:t>(</w:t>
      </w:r>
      <w:r w:rsidRPr="00EE50E8">
        <w:rPr>
          <w:rFonts w:ascii="Times New Roman" w:hAnsi="Times New Roman" w:cs="Times New Roman"/>
        </w:rPr>
        <w:t>дата</w:t>
      </w:r>
      <w:r w:rsidRPr="00CC2345">
        <w:rPr>
          <w:rFonts w:ascii="Times New Roman" w:hAnsi="Times New Roman" w:cs="Times New Roman"/>
          <w:lang w:val="en-US"/>
        </w:rPr>
        <w:t xml:space="preserve"> </w:t>
      </w:r>
      <w:r w:rsidRPr="00EE50E8">
        <w:rPr>
          <w:rFonts w:ascii="Times New Roman" w:hAnsi="Times New Roman" w:cs="Times New Roman"/>
        </w:rPr>
        <w:t>обращения</w:t>
      </w:r>
      <w:r w:rsidRPr="00CC2345">
        <w:rPr>
          <w:rFonts w:ascii="Times New Roman" w:hAnsi="Times New Roman" w:cs="Times New Roman"/>
          <w:lang w:val="en-US"/>
        </w:rPr>
        <w:t xml:space="preserve">: 02.05.2026). — </w:t>
      </w:r>
      <w:r w:rsidRPr="00EE50E8">
        <w:rPr>
          <w:rFonts w:ascii="Times New Roman" w:hAnsi="Times New Roman" w:cs="Times New Roman"/>
        </w:rPr>
        <w:t>Текст</w:t>
      </w:r>
      <w:r w:rsidRPr="00CC2345">
        <w:rPr>
          <w:rFonts w:ascii="Times New Roman" w:hAnsi="Times New Roman" w:cs="Times New Roman"/>
          <w:lang w:val="en-US"/>
        </w:rPr>
        <w:t xml:space="preserve">: </w:t>
      </w:r>
      <w:r w:rsidRPr="00EE50E8">
        <w:rPr>
          <w:rFonts w:ascii="Times New Roman" w:hAnsi="Times New Roman" w:cs="Times New Roman"/>
        </w:rPr>
        <w:t>электронный</w:t>
      </w:r>
      <w:r w:rsidRPr="00CC2345">
        <w:rPr>
          <w:rFonts w:ascii="Times New Roman" w:hAnsi="Times New Roman" w:cs="Times New Roman"/>
          <w:lang w:val="en-US"/>
        </w:rPr>
        <w:t>.</w:t>
      </w:r>
    </w:p>
    <w:p w14:paraId="3768B7F8" w14:textId="77777777" w:rsidR="00B7694B" w:rsidRPr="00E962AA" w:rsidRDefault="00B7694B" w:rsidP="00B76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  <w:r w:rsidRPr="00CC2345">
        <w:rPr>
          <w:rFonts w:ascii="Times New Roman" w:hAnsi="Times New Roman" w:cs="Times New Roman"/>
          <w:lang w:val="en-US"/>
        </w:rPr>
        <w:t xml:space="preserve">5. European Commission. Report from the Commission to the European Parliament and the Council on Progress in Romania under the Cooperation and Verification Mechanism, COM(2021) 370 final, 8 June 2021. — URL: </w:t>
      </w:r>
      <w:hyperlink r:id="rId8" w:history="1">
        <w:r w:rsidRPr="00CC2345">
          <w:rPr>
            <w:rStyle w:val="a3"/>
            <w:rFonts w:ascii="Times New Roman" w:hAnsi="Times New Roman" w:cs="Times New Roman"/>
            <w:lang w:val="en-US"/>
          </w:rPr>
          <w:t>https://eur-lex.europa.eu/legal-content/EN/TXT/PDF/?from=en&amp;uri=CELEX:52021DC0370</w:t>
        </w:r>
      </w:hyperlink>
      <w:r w:rsidRPr="00E962AA">
        <w:rPr>
          <w:rFonts w:ascii="Times New Roman" w:hAnsi="Times New Roman" w:cs="Times New Roman"/>
          <w:lang w:val="en-US"/>
        </w:rPr>
        <w:t xml:space="preserve"> </w:t>
      </w:r>
      <w:r w:rsidRPr="00CC2345">
        <w:rPr>
          <w:rFonts w:ascii="Times New Roman" w:hAnsi="Times New Roman" w:cs="Times New Roman"/>
          <w:lang w:val="en-US"/>
        </w:rPr>
        <w:t>(</w:t>
      </w:r>
      <w:r w:rsidRPr="00EE50E8">
        <w:rPr>
          <w:rFonts w:ascii="Times New Roman" w:hAnsi="Times New Roman" w:cs="Times New Roman"/>
        </w:rPr>
        <w:t>дата</w:t>
      </w:r>
      <w:r w:rsidRPr="00CC2345">
        <w:rPr>
          <w:rFonts w:ascii="Times New Roman" w:hAnsi="Times New Roman" w:cs="Times New Roman"/>
          <w:lang w:val="en-US"/>
        </w:rPr>
        <w:t xml:space="preserve"> </w:t>
      </w:r>
      <w:r w:rsidRPr="00EE50E8">
        <w:rPr>
          <w:rFonts w:ascii="Times New Roman" w:hAnsi="Times New Roman" w:cs="Times New Roman"/>
        </w:rPr>
        <w:t>обращения</w:t>
      </w:r>
      <w:r w:rsidRPr="00CC2345">
        <w:rPr>
          <w:rFonts w:ascii="Times New Roman" w:hAnsi="Times New Roman" w:cs="Times New Roman"/>
          <w:lang w:val="en-US"/>
        </w:rPr>
        <w:t xml:space="preserve">: 02.05.2026). — </w:t>
      </w:r>
      <w:r w:rsidRPr="00EE50E8">
        <w:rPr>
          <w:rFonts w:ascii="Times New Roman" w:hAnsi="Times New Roman" w:cs="Times New Roman"/>
        </w:rPr>
        <w:t>Текст</w:t>
      </w:r>
      <w:r w:rsidRPr="00CC2345">
        <w:rPr>
          <w:rFonts w:ascii="Times New Roman" w:hAnsi="Times New Roman" w:cs="Times New Roman"/>
          <w:lang w:val="en-US"/>
        </w:rPr>
        <w:t xml:space="preserve">: </w:t>
      </w:r>
      <w:r w:rsidRPr="00EE50E8">
        <w:rPr>
          <w:rFonts w:ascii="Times New Roman" w:hAnsi="Times New Roman" w:cs="Times New Roman"/>
        </w:rPr>
        <w:t>электронный</w:t>
      </w:r>
      <w:r w:rsidRPr="00CC2345">
        <w:rPr>
          <w:rFonts w:ascii="Times New Roman" w:hAnsi="Times New Roman" w:cs="Times New Roman"/>
          <w:lang w:val="en-US"/>
        </w:rPr>
        <w:t>.</w:t>
      </w:r>
    </w:p>
    <w:p w14:paraId="30CF3319" w14:textId="77777777" w:rsidR="007C1520" w:rsidRPr="00B7694B" w:rsidRDefault="007C1520">
      <w:pPr>
        <w:rPr>
          <w:lang w:val="en-US"/>
        </w:rPr>
      </w:pPr>
    </w:p>
    <w:sectPr w:rsidR="007C1520" w:rsidRPr="00B76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4B"/>
    <w:rsid w:val="00657B44"/>
    <w:rsid w:val="007C1520"/>
    <w:rsid w:val="00B7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2AB5E"/>
  <w15:chartTrackingRefBased/>
  <w15:docId w15:val="{76B3F352-B576-48C1-898B-EC7F14EF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94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69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legal-content/EN/TXT/PDF/?from=en&amp;uri=CELEX:52021DC037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ur-lex.europa.eu/legal-content/DE/TXT/PDF/?uri=CELEX:52019DC049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c.europa.eu/commission/presscorner/api/files/document/print/en/ip_19_6135/IP_19_6135_EN.pdf" TargetMode="External"/><Relationship Id="rId5" Type="http://schemas.openxmlformats.org/officeDocument/2006/relationships/hyperlink" Target="https://www.dna.ro/comunicat.xhtml?id=947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dna.ro/comunicat.xhtml?id=758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1830</Words>
  <Characters>10436</Characters>
  <Application>Microsoft Office Word</Application>
  <DocSecurity>0</DocSecurity>
  <Lines>86</Lines>
  <Paragraphs>24</Paragraphs>
  <ScaleCrop>false</ScaleCrop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Молодиченко</dc:creator>
  <cp:keywords/>
  <dc:description/>
  <cp:lastModifiedBy>Никита Молодиченко</cp:lastModifiedBy>
  <cp:revision>1</cp:revision>
  <dcterms:created xsi:type="dcterms:W3CDTF">2026-05-02T16:41:00Z</dcterms:created>
  <dcterms:modified xsi:type="dcterms:W3CDTF">2026-05-02T16:41:00Z</dcterms:modified>
</cp:coreProperties>
</file>