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DB243" w14:textId="77777777" w:rsidR="008A0739" w:rsidRPr="00EE50E8" w:rsidRDefault="008A0739" w:rsidP="008A0739">
      <w:pPr>
        <w:spacing w:before="100" w:beforeAutospacing="1" w:after="100" w:afterAutospacing="1" w:line="240" w:lineRule="auto"/>
        <w:jc w:val="center"/>
        <w:outlineLvl w:val="1"/>
        <w:rPr>
          <w:rFonts w:ascii="Times New Roman" w:eastAsia="Times New Roman" w:hAnsi="Times New Roman" w:cs="Times New Roman"/>
          <w:b/>
          <w:bCs/>
          <w:color w:val="000000"/>
          <w:kern w:val="0"/>
          <w:lang w:eastAsia="ru-RU"/>
          <w14:ligatures w14:val="none"/>
        </w:rPr>
      </w:pPr>
      <w:r w:rsidRPr="00EE50E8">
        <w:rPr>
          <w:rFonts w:ascii="Times New Roman" w:eastAsia="Times New Roman" w:hAnsi="Times New Roman" w:cs="Times New Roman"/>
          <w:b/>
          <w:bCs/>
          <w:color w:val="000000"/>
          <w:kern w:val="0"/>
          <w:lang w:eastAsia="ru-RU"/>
          <w14:ligatures w14:val="none"/>
        </w:rPr>
        <w:t>Кейс №3: Шелдона Сильвер, США</w:t>
      </w:r>
    </w:p>
    <w:p w14:paraId="418C8A35" w14:textId="77777777" w:rsidR="008A0739" w:rsidRPr="00EE50E8" w:rsidRDefault="008A0739" w:rsidP="008A0739">
      <w:pPr>
        <w:spacing w:before="100" w:beforeAutospacing="1" w:after="100" w:afterAutospacing="1" w:line="240" w:lineRule="auto"/>
        <w:jc w:val="both"/>
        <w:outlineLvl w:val="2"/>
        <w:rPr>
          <w:rFonts w:ascii="Times New Roman" w:eastAsia="Times New Roman" w:hAnsi="Times New Roman" w:cs="Times New Roman"/>
          <w:b/>
          <w:bCs/>
          <w:i/>
          <w:iCs/>
          <w:color w:val="000000"/>
          <w:kern w:val="0"/>
          <w:lang w:eastAsia="ru-RU"/>
          <w14:ligatures w14:val="none"/>
        </w:rPr>
      </w:pPr>
      <w:r w:rsidRPr="00EE50E8">
        <w:rPr>
          <w:rFonts w:ascii="Times New Roman" w:eastAsia="Times New Roman" w:hAnsi="Times New Roman" w:cs="Times New Roman"/>
          <w:b/>
          <w:bCs/>
          <w:i/>
          <w:iCs/>
          <w:color w:val="000000"/>
          <w:kern w:val="0"/>
          <w:lang w:eastAsia="ru-RU"/>
          <w14:ligatures w14:val="none"/>
        </w:rPr>
        <w:t>1. Базовые данные</w:t>
      </w:r>
    </w:p>
    <w:p w14:paraId="479EF33D"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i/>
          <w:iCs/>
          <w:color w:val="000000"/>
          <w:kern w:val="0"/>
          <w:u w:val="single"/>
          <w:lang w:eastAsia="ru-RU"/>
          <w14:ligatures w14:val="none"/>
        </w:rPr>
        <w:t>Страна/юрисдикция:</w:t>
      </w:r>
      <w:r w:rsidRPr="00EE50E8">
        <w:rPr>
          <w:rFonts w:ascii="Times New Roman" w:eastAsia="Times New Roman" w:hAnsi="Times New Roman" w:cs="Times New Roman"/>
          <w:color w:val="000000"/>
          <w:kern w:val="0"/>
          <w:lang w:eastAsia="ru-RU"/>
          <w14:ligatures w14:val="none"/>
        </w:rPr>
        <w:t> Соединённые Штаты Америки; федеральная уголовная юрисдикция, Южный округ штата Нью-Йорк.</w:t>
      </w:r>
    </w:p>
    <w:p w14:paraId="37E638C9"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i/>
          <w:iCs/>
          <w:color w:val="000000"/>
          <w:kern w:val="0"/>
          <w:u w:val="single"/>
          <w:lang w:eastAsia="ru-RU"/>
          <w14:ligatures w14:val="none"/>
        </w:rPr>
        <w:t>Годы развития дела:</w:t>
      </w:r>
      <w:r w:rsidRPr="00EE50E8">
        <w:rPr>
          <w:rFonts w:ascii="Times New Roman" w:eastAsia="Times New Roman" w:hAnsi="Times New Roman" w:cs="Times New Roman"/>
          <w:color w:val="000000"/>
          <w:kern w:val="0"/>
          <w:lang w:eastAsia="ru-RU"/>
          <w14:ligatures w14:val="none"/>
        </w:rPr>
        <w:t> 2015–2021 гг. как период уголовного преследования и апелляционного пересмотра; коррупционные схемы, по версии обвинения, формировались ранее в период нахождения Сильвера на руководящей должности в законодательном органе штата.</w:t>
      </w:r>
    </w:p>
    <w:p w14:paraId="161D57C1"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i/>
          <w:iCs/>
          <w:color w:val="000000"/>
          <w:kern w:val="0"/>
          <w:u w:val="single"/>
          <w:lang w:eastAsia="ru-RU"/>
          <w14:ligatures w14:val="none"/>
        </w:rPr>
        <w:t>Уровень власти:</w:t>
      </w:r>
      <w:r w:rsidRPr="00EE50E8">
        <w:rPr>
          <w:rFonts w:ascii="Times New Roman" w:eastAsia="Times New Roman" w:hAnsi="Times New Roman" w:cs="Times New Roman"/>
          <w:color w:val="000000"/>
          <w:kern w:val="0"/>
          <w:lang w:eastAsia="ru-RU"/>
          <w14:ligatures w14:val="none"/>
        </w:rPr>
        <w:t> уровень субъекта федерации — штат Нью-Йорк; при этом преследование осуществлялось федеральными органами США.</w:t>
      </w:r>
    </w:p>
    <w:p w14:paraId="7EBC4DB1"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i/>
          <w:iCs/>
          <w:color w:val="000000"/>
          <w:kern w:val="0"/>
          <w:u w:val="single"/>
          <w:lang w:eastAsia="ru-RU"/>
          <w14:ligatures w14:val="none"/>
        </w:rPr>
        <w:t>Отрасль риска:</w:t>
      </w:r>
      <w:r w:rsidRPr="00EE50E8">
        <w:rPr>
          <w:rFonts w:ascii="Times New Roman" w:eastAsia="Times New Roman" w:hAnsi="Times New Roman" w:cs="Times New Roman"/>
          <w:color w:val="000000"/>
          <w:kern w:val="0"/>
          <w:lang w:eastAsia="ru-RU"/>
          <w14:ligatures w14:val="none"/>
        </w:rPr>
        <w:t> законодательное регулирование, распределение бюджетных и исследовательских ресурсов, государственное влияние на экономические и девелоперские интересы, совмещение публичной должности с частной юридической практикой.</w:t>
      </w:r>
    </w:p>
    <w:p w14:paraId="18FD838D"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i/>
          <w:iCs/>
          <w:color w:val="000000"/>
          <w:kern w:val="0"/>
          <w:u w:val="single"/>
          <w:lang w:eastAsia="ru-RU"/>
          <w14:ligatures w14:val="none"/>
        </w:rPr>
        <w:t>Тип коррупционного поведения:</w:t>
      </w:r>
      <w:r w:rsidRPr="00EE50E8">
        <w:rPr>
          <w:rFonts w:ascii="Times New Roman" w:eastAsia="Times New Roman" w:hAnsi="Times New Roman" w:cs="Times New Roman"/>
          <w:color w:val="000000"/>
          <w:kern w:val="0"/>
          <w:lang w:eastAsia="ru-RU"/>
          <w14:ligatures w14:val="none"/>
        </w:rPr>
        <w:t> использование политического влияния и статуса руководителя законодательного органа для получения скрытых частных доходов через юридические «реферальные сборы», то есть выплаты за направление клиентов, при предполагаемом предоставлении официального содействия или благоприятного отношения к интересам плательщиков.</w:t>
      </w:r>
    </w:p>
    <w:p w14:paraId="50AC82A0" w14:textId="77777777" w:rsidR="008A0739" w:rsidRPr="00EE50E8" w:rsidRDefault="008A0739" w:rsidP="008A0739">
      <w:pPr>
        <w:spacing w:before="100" w:beforeAutospacing="1" w:after="100" w:afterAutospacing="1" w:line="240" w:lineRule="auto"/>
        <w:jc w:val="both"/>
        <w:outlineLvl w:val="2"/>
        <w:rPr>
          <w:rFonts w:ascii="Times New Roman" w:eastAsia="Times New Roman" w:hAnsi="Times New Roman" w:cs="Times New Roman"/>
          <w:b/>
          <w:bCs/>
          <w:i/>
          <w:iCs/>
          <w:color w:val="000000"/>
          <w:kern w:val="0"/>
          <w:lang w:eastAsia="ru-RU"/>
          <w14:ligatures w14:val="none"/>
        </w:rPr>
      </w:pPr>
      <w:r w:rsidRPr="00EE50E8">
        <w:rPr>
          <w:rFonts w:ascii="Times New Roman" w:eastAsia="Times New Roman" w:hAnsi="Times New Roman" w:cs="Times New Roman"/>
          <w:b/>
          <w:bCs/>
          <w:i/>
          <w:iCs/>
          <w:color w:val="000000"/>
          <w:kern w:val="0"/>
          <w:lang w:eastAsia="ru-RU"/>
          <w14:ligatures w14:val="none"/>
        </w:rPr>
        <w:t>2. Фабула дела</w:t>
      </w:r>
    </w:p>
    <w:p w14:paraId="051C1C21"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Дело Шелдона Сильвера является одним из наиболее показательных американских кейсов, демонстрирующих сложность квалификации элитной коррупции в условиях, когда незаконная выгода не передаётся в форме прямой наличной взятки, а маскируется под легальный профессиональный доход. По версии федерального обвинения, Сильвер, занимая пост спикера Ассамблеи штата Нью-Йорк, использовал своё должностное положение для получения почти 4 млн долларов США в виде скрытых взяток и откатов, а также получил около 1 млн долларов через операции по легализации преступных доходов. Минюст США прямо характеризовал дело как получение Сильвером незаконных выгод «in exchange for his official acts» — в обмен на официальные действия. </w:t>
      </w:r>
    </w:p>
    <w:p w14:paraId="226FD5F6"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 xml:space="preserve">Суть дела состояла в двух взаимосвязанных коррупционных механизмах. </w:t>
      </w:r>
      <w:r w:rsidRPr="00EE50E8">
        <w:rPr>
          <w:rFonts w:ascii="Times New Roman" w:eastAsia="Times New Roman" w:hAnsi="Times New Roman" w:cs="Times New Roman"/>
          <w:b/>
          <w:bCs/>
          <w:color w:val="000000"/>
          <w:kern w:val="0"/>
          <w:lang w:eastAsia="ru-RU"/>
          <w14:ligatures w14:val="none"/>
        </w:rPr>
        <w:t>Первый</w:t>
      </w:r>
      <w:r w:rsidRPr="00EE50E8">
        <w:rPr>
          <w:rFonts w:ascii="Times New Roman" w:eastAsia="Times New Roman" w:hAnsi="Times New Roman" w:cs="Times New Roman"/>
          <w:color w:val="000000"/>
          <w:kern w:val="0"/>
          <w:lang w:eastAsia="ru-RU"/>
          <w14:ligatures w14:val="none"/>
        </w:rPr>
        <w:t xml:space="preserve"> был связан с направлением пациентов с заболеваниями, вызванными воздействием асбеста, в юридическую фирму, от которой Сильвер получал вознаграждения за привлечение клиентов. Обвинение утверждало, что такие выплаты были не обычным профессиональным доходом, а частью коррупционного quid pro quo (лат. «услуга за услугу»), поскольку Сильвер, используя свой публичный статус, оказывал содействие лицам, от которых зависел поток таких выплат. </w:t>
      </w:r>
      <w:r w:rsidRPr="00EE50E8">
        <w:rPr>
          <w:rFonts w:ascii="Times New Roman" w:eastAsia="Times New Roman" w:hAnsi="Times New Roman" w:cs="Times New Roman"/>
          <w:b/>
          <w:bCs/>
          <w:color w:val="000000"/>
          <w:kern w:val="0"/>
          <w:lang w:eastAsia="ru-RU"/>
          <w14:ligatures w14:val="none"/>
        </w:rPr>
        <w:t>Второй блок</w:t>
      </w:r>
      <w:r w:rsidRPr="00EE50E8">
        <w:rPr>
          <w:rFonts w:ascii="Times New Roman" w:eastAsia="Times New Roman" w:hAnsi="Times New Roman" w:cs="Times New Roman"/>
          <w:color w:val="000000"/>
          <w:kern w:val="0"/>
          <w:lang w:eastAsia="ru-RU"/>
          <w14:ligatures w14:val="none"/>
        </w:rPr>
        <w:t xml:space="preserve"> обвинения касался отношений с девелоперскими интересами и другой юридической фирмой, через которую Сильвер также получал значительные суммы, скрывавшиеся под видом легальных юридических платежей.</w:t>
      </w:r>
    </w:p>
    <w:p w14:paraId="37700C25"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 xml:space="preserve">Антикоррупционная значимость дела заключается в том, что оно иллюстрирует не столько «классическую» взятку за разовое административное решение, сколько устойчивую модель монетизации публичной власти. Формально Сильвер мог указывать на частноправовую природу получаемых им юридических выплат. Однако обвинение строило дело на том, что эти выплаты имели функциональную связь с его возможностью воздействовать на </w:t>
      </w:r>
      <w:r w:rsidRPr="00EE50E8">
        <w:rPr>
          <w:rFonts w:ascii="Times New Roman" w:eastAsia="Times New Roman" w:hAnsi="Times New Roman" w:cs="Times New Roman"/>
          <w:color w:val="000000"/>
          <w:kern w:val="0"/>
          <w:lang w:eastAsia="ru-RU"/>
          <w14:ligatures w14:val="none"/>
        </w:rPr>
        <w:lastRenderedPageBreak/>
        <w:t>государственные решения, бюджетные процессы, законодательные приоритеты и институциональные интересы лиц, обеспечивавших ему доход.</w:t>
      </w:r>
    </w:p>
    <w:p w14:paraId="608EAFBF"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Именно поэтому Кейс Сильвера важен для сравнительного антикоррупционного анализа: он показывает, что в последнее время существует борьба с коррупцией, инициаторами которой являются государственные чиновники, которые часто осуществляют действия не через единую норму о взяточничестве, а через совокупность федеральных составов — мошенничество, мошенничество в сфере честных услуг, вымогательство по Закону Хоббса и отмывание денег. Такая конструкция позволяет преследовать сложную схему обмена «влияние — частные выгоды», но одновременно создает серьезные проблемы определенности.</w:t>
      </w:r>
    </w:p>
    <w:p w14:paraId="5CF91717" w14:textId="77777777" w:rsidR="008A0739" w:rsidRPr="00EE50E8" w:rsidRDefault="008A0739" w:rsidP="008A0739">
      <w:pPr>
        <w:spacing w:before="100" w:beforeAutospacing="1" w:after="100" w:afterAutospacing="1" w:line="240" w:lineRule="auto"/>
        <w:jc w:val="both"/>
        <w:outlineLvl w:val="2"/>
        <w:rPr>
          <w:rFonts w:ascii="Times New Roman" w:eastAsia="Times New Roman" w:hAnsi="Times New Roman" w:cs="Times New Roman"/>
          <w:b/>
          <w:bCs/>
          <w:i/>
          <w:iCs/>
          <w:color w:val="000000"/>
          <w:kern w:val="0"/>
          <w:lang w:eastAsia="ru-RU"/>
          <w14:ligatures w14:val="none"/>
        </w:rPr>
      </w:pPr>
      <w:r w:rsidRPr="00EE50E8">
        <w:rPr>
          <w:rFonts w:ascii="Times New Roman" w:eastAsia="Times New Roman" w:hAnsi="Times New Roman" w:cs="Times New Roman"/>
          <w:b/>
          <w:bCs/>
          <w:i/>
          <w:iCs/>
          <w:color w:val="000000"/>
          <w:kern w:val="0"/>
          <w:lang w:eastAsia="ru-RU"/>
          <w14:ligatures w14:val="none"/>
        </w:rPr>
        <w:t>3. Правовая квалификация</w:t>
      </w:r>
    </w:p>
    <w:p w14:paraId="5AF7ABFD"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Уголовно-правовая квалификация строилась вокруг нескольких федеральных норм.</w:t>
      </w:r>
    </w:p>
    <w:p w14:paraId="6A8DF28F"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 xml:space="preserve">Во-первых, применялись положения о </w:t>
      </w:r>
      <w:r w:rsidRPr="00EE50E8">
        <w:rPr>
          <w:rFonts w:ascii="Times New Roman" w:eastAsia="Times New Roman" w:hAnsi="Times New Roman" w:cs="Times New Roman"/>
          <w:b/>
          <w:bCs/>
          <w:color w:val="000000"/>
          <w:kern w:val="0"/>
          <w:lang w:eastAsia="ru-RU"/>
          <w14:ligatures w14:val="none"/>
        </w:rPr>
        <w:t>mail fraud</w:t>
      </w:r>
      <w:r w:rsidRPr="00EE50E8">
        <w:rPr>
          <w:rFonts w:ascii="Times New Roman" w:eastAsia="Times New Roman" w:hAnsi="Times New Roman" w:cs="Times New Roman"/>
          <w:color w:val="000000"/>
          <w:kern w:val="0"/>
          <w:lang w:eastAsia="ru-RU"/>
          <w14:ligatures w14:val="none"/>
        </w:rPr>
        <w:t xml:space="preserve"> и </w:t>
      </w:r>
      <w:r w:rsidRPr="00EE50E8">
        <w:rPr>
          <w:rFonts w:ascii="Times New Roman" w:eastAsia="Times New Roman" w:hAnsi="Times New Roman" w:cs="Times New Roman"/>
          <w:b/>
          <w:bCs/>
          <w:color w:val="000000"/>
          <w:kern w:val="0"/>
          <w:lang w:eastAsia="ru-RU"/>
          <w14:ligatures w14:val="none"/>
        </w:rPr>
        <w:t>wire fraud</w:t>
      </w:r>
      <w:r w:rsidRPr="00EE50E8">
        <w:rPr>
          <w:rFonts w:ascii="Times New Roman" w:eastAsia="Times New Roman" w:hAnsi="Times New Roman" w:cs="Times New Roman"/>
          <w:color w:val="000000"/>
          <w:kern w:val="0"/>
          <w:lang w:eastAsia="ru-RU"/>
          <w14:ligatures w14:val="none"/>
        </w:rPr>
        <w:t> — мошенничестве с использованием почтовой связи и средств электронной/межштатной коммуникации. В частности, 18 U.S.C. § 1341 предусматривает ответственность за схему обмана или получение денег либо имущества посредством ложных или мошеннических представлений при использовании почтовой или коммерческой межштатной доставки. </w:t>
      </w:r>
    </w:p>
    <w:p w14:paraId="629F3622"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Во-вторых, ключевое значение имела доктрина </w:t>
      </w:r>
      <w:r w:rsidRPr="00EE50E8">
        <w:rPr>
          <w:rFonts w:ascii="Times New Roman" w:eastAsia="Times New Roman" w:hAnsi="Times New Roman" w:cs="Times New Roman"/>
          <w:b/>
          <w:bCs/>
          <w:color w:val="000000"/>
          <w:kern w:val="0"/>
          <w:lang w:eastAsia="ru-RU"/>
          <w14:ligatures w14:val="none"/>
        </w:rPr>
        <w:t>honest services fraud</w:t>
      </w:r>
      <w:r w:rsidRPr="00EE50E8">
        <w:rPr>
          <w:rFonts w:ascii="Times New Roman" w:eastAsia="Times New Roman" w:hAnsi="Times New Roman" w:cs="Times New Roman"/>
          <w:color w:val="000000"/>
          <w:kern w:val="0"/>
          <w:lang w:eastAsia="ru-RU"/>
          <w14:ligatures w14:val="none"/>
        </w:rPr>
        <w:t>. Согласно 18 U.S.C. § 1346, понятие «scheme or artifice to defraud» включает схему, направленную на лишение другого лица нематериального права на честные услуги. В делах о публичной коррупции эта норма используется для защиты права общества на добросовестное, лояльное и неподкупное исполнение обязанностей публичным должностным лицом.</w:t>
      </w:r>
    </w:p>
    <w:p w14:paraId="10EC9C8F"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В-третьих, Сильвер обвинялся по </w:t>
      </w:r>
      <w:r w:rsidRPr="00EE50E8">
        <w:rPr>
          <w:rFonts w:ascii="Times New Roman" w:eastAsia="Times New Roman" w:hAnsi="Times New Roman" w:cs="Times New Roman"/>
          <w:b/>
          <w:bCs/>
          <w:color w:val="000000"/>
          <w:kern w:val="0"/>
          <w:lang w:eastAsia="ru-RU"/>
          <w14:ligatures w14:val="none"/>
        </w:rPr>
        <w:t>Hobbs Act</w:t>
      </w:r>
      <w:r w:rsidRPr="00EE50E8">
        <w:rPr>
          <w:rFonts w:ascii="Times New Roman" w:eastAsia="Times New Roman" w:hAnsi="Times New Roman" w:cs="Times New Roman"/>
          <w:color w:val="000000"/>
          <w:kern w:val="0"/>
          <w:lang w:eastAsia="ru-RU"/>
          <w14:ligatures w14:val="none"/>
        </w:rPr>
        <w:t>, 18 U.S.C. § 1951. Эта норма охватывает, среди прочего, вымогательство, влияющее на торговлю между штатами, а само вымогательство определяется как получение имущества от другого лица с его согласия, вызванное неправомерным использованием силы, страха либо осуществлённое «under color of official right» — под прикрытием официального права или должностного статуса. В американской практике эта формула используется для преследования ситуаций, когда публичное должностное лицо получает незаконную выгоду благодаря своему официальному положению.</w:t>
      </w:r>
    </w:p>
    <w:p w14:paraId="603EC422"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В-четвёртых, в деле фигурировала </w:t>
      </w:r>
      <w:r w:rsidRPr="00EE50E8">
        <w:rPr>
          <w:rFonts w:ascii="Times New Roman" w:eastAsia="Times New Roman" w:hAnsi="Times New Roman" w:cs="Times New Roman"/>
          <w:b/>
          <w:bCs/>
          <w:color w:val="000000"/>
          <w:kern w:val="0"/>
          <w:lang w:eastAsia="ru-RU"/>
          <w14:ligatures w14:val="none"/>
        </w:rPr>
        <w:t>легализация преступных доходов</w:t>
      </w:r>
      <w:r w:rsidRPr="00EE50E8">
        <w:rPr>
          <w:rFonts w:ascii="Times New Roman" w:eastAsia="Times New Roman" w:hAnsi="Times New Roman" w:cs="Times New Roman"/>
          <w:color w:val="000000"/>
          <w:kern w:val="0"/>
          <w:lang w:eastAsia="ru-RU"/>
          <w14:ligatures w14:val="none"/>
        </w:rPr>
        <w:t> — money laundering. Этот блок был связан с тем, что доходы, полученные в результате коррупционных схем, по версии обвинения, маскировались и проводились через внешне легальные финансовые и профессиональные механизмы.</w:t>
      </w:r>
    </w:p>
    <w:p w14:paraId="62F7304E"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Особенность дела состояла в том, что федеральные суды были вынуждены определить границу между незаконным quid pro quo и допустимыми политическими контактами, представительством интересов и обычной деятельностью публичного политика. После решения Верховного суда США по делу </w:t>
      </w:r>
      <w:r w:rsidRPr="00EE50E8">
        <w:rPr>
          <w:rFonts w:ascii="Times New Roman" w:eastAsia="Times New Roman" w:hAnsi="Times New Roman" w:cs="Times New Roman"/>
          <w:i/>
          <w:iCs/>
          <w:color w:val="000000"/>
          <w:kern w:val="0"/>
          <w:lang w:eastAsia="ru-RU"/>
          <w14:ligatures w14:val="none"/>
        </w:rPr>
        <w:t>McDonnell v. United States</w:t>
      </w:r>
      <w:r w:rsidRPr="00EE50E8">
        <w:rPr>
          <w:rFonts w:ascii="Times New Roman" w:eastAsia="Times New Roman" w:hAnsi="Times New Roman" w:cs="Times New Roman"/>
          <w:color w:val="000000"/>
          <w:kern w:val="0"/>
          <w:lang w:eastAsia="ru-RU"/>
          <w14:ligatures w14:val="none"/>
        </w:rPr>
        <w:t> понятие «official act» было сужено: Верховный суд указал, что официальным действием является решение или действие по конкретному вопросу, делу, процедуре или спору, предполагающее формальное осуществление государственной власти; простая организация встречи, мероприятие или контакт с другим должностным лицом сами по себе не образуют такого действия. </w:t>
      </w:r>
    </w:p>
    <w:p w14:paraId="40050604" w14:textId="77777777" w:rsidR="008A0739" w:rsidRPr="00EE50E8" w:rsidRDefault="008A0739" w:rsidP="008A0739">
      <w:pPr>
        <w:spacing w:before="100" w:beforeAutospacing="1" w:after="100" w:afterAutospacing="1" w:line="240" w:lineRule="auto"/>
        <w:jc w:val="both"/>
        <w:outlineLvl w:val="2"/>
        <w:rPr>
          <w:rFonts w:ascii="Times New Roman" w:eastAsia="Times New Roman" w:hAnsi="Times New Roman" w:cs="Times New Roman"/>
          <w:b/>
          <w:bCs/>
          <w:i/>
          <w:iCs/>
          <w:color w:val="000000"/>
          <w:kern w:val="0"/>
          <w:lang w:eastAsia="ru-RU"/>
          <w14:ligatures w14:val="none"/>
        </w:rPr>
      </w:pPr>
      <w:r w:rsidRPr="00EE50E8">
        <w:rPr>
          <w:rFonts w:ascii="Times New Roman" w:eastAsia="Times New Roman" w:hAnsi="Times New Roman" w:cs="Times New Roman"/>
          <w:b/>
          <w:bCs/>
          <w:i/>
          <w:iCs/>
          <w:color w:val="000000"/>
          <w:kern w:val="0"/>
          <w:lang w:eastAsia="ru-RU"/>
          <w14:ligatures w14:val="none"/>
        </w:rPr>
        <w:lastRenderedPageBreak/>
        <w:t>4. Ход дела</w:t>
      </w:r>
    </w:p>
    <w:p w14:paraId="1BC48D97"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Дело началось в январе 2015 года, когда Сильвер был арестован федеральными властями по обвинению в использовании должности спикера Ассамблеи штата Нью-Йорк для получения почти 4 млн долларов в форме взяток и откатов, замаскированных под доход от юридической практики. Уже на этой стадии дело приобрело исключительный политико-правовой резонанс, поскольку Сильвер на протяжении десятилетий считался одним из ключевых участников системы власти в штате Нью-Йорк.</w:t>
      </w:r>
    </w:p>
    <w:p w14:paraId="5E788DEE"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В ноябре 2015 года присяжные признали Сильвера виновным по всем пунктам обвинения. В мае 2016 года судья федерального окружного суда Валери Капрони назначила ему наказание в виде 12 лет лишения свободы. Минюст США указывал, что Сильвер был признан виновным в использовании официального положения для получения почти 4 млн долларов взяток и откатов, а также около 1 млн долларов через легализацию доходов. </w:t>
      </w:r>
    </w:p>
    <w:p w14:paraId="51E9C684"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 xml:space="preserve">Однако первая обвинительная конструкция не устояла в апелляции. После решения Верховного суда США по делу </w:t>
      </w:r>
      <w:r w:rsidRPr="00EE50E8">
        <w:rPr>
          <w:rFonts w:ascii="Times New Roman" w:eastAsia="Times New Roman" w:hAnsi="Times New Roman" w:cs="Times New Roman"/>
          <w:i/>
          <w:iCs/>
          <w:color w:val="000000"/>
          <w:kern w:val="0"/>
          <w:lang w:eastAsia="ru-RU"/>
          <w14:ligatures w14:val="none"/>
        </w:rPr>
        <w:t>McDonnell v. United States</w:t>
      </w:r>
      <w:r w:rsidRPr="00EE50E8">
        <w:rPr>
          <w:rFonts w:ascii="Times New Roman" w:eastAsia="Times New Roman" w:hAnsi="Times New Roman" w:cs="Times New Roman"/>
          <w:color w:val="000000"/>
          <w:kern w:val="0"/>
          <w:lang w:eastAsia="ru-RU"/>
          <w14:ligatures w14:val="none"/>
        </w:rPr>
        <w:t> Апелляционный суд Второго округа отменил первоначительный обвинительный приговор. Ключевая проблема заключалась не в полном отрицании возможности уголовного преследования, а в том, что присяжные должны были получить более точные инструкции о том, что именно является «official act» для целей федеральных антикоррупционных составов. Минюст США позднее прямо указал, что первая судимость была отменена именно вследствие решения Верховного суда по делу </w:t>
      </w:r>
      <w:r w:rsidRPr="00EE50E8">
        <w:rPr>
          <w:rFonts w:ascii="Times New Roman" w:eastAsia="Times New Roman" w:hAnsi="Times New Roman" w:cs="Times New Roman"/>
          <w:i/>
          <w:iCs/>
          <w:color w:val="000000"/>
          <w:kern w:val="0"/>
          <w:lang w:eastAsia="ru-RU"/>
          <w14:ligatures w14:val="none"/>
        </w:rPr>
        <w:t>McDonnell</w:t>
      </w:r>
      <w:r w:rsidRPr="00EE50E8">
        <w:rPr>
          <w:rFonts w:ascii="Times New Roman" w:eastAsia="Times New Roman" w:hAnsi="Times New Roman" w:cs="Times New Roman"/>
          <w:color w:val="000000"/>
          <w:kern w:val="0"/>
          <w:lang w:eastAsia="ru-RU"/>
          <w14:ligatures w14:val="none"/>
        </w:rPr>
        <w:t>. </w:t>
      </w:r>
    </w:p>
    <w:p w14:paraId="107194BE"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В 2018 году Сильвер был повторно предан суду. По итогам нового процесса присяжные вновь признали его виновным по всем семи пунктам обвинения. 27 июля 2018 года суд назначил ему 7 лет лишения свободы. </w:t>
      </w:r>
    </w:p>
    <w:p w14:paraId="7063E7E1"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Дальнейший апелляционный пересмотр вновь показал сложность правовой конструкции дела. В январе 2020 года Апелляционный суд Второго округа указал, что для Hobbs Act вымогательство под видом официального права и мошенничество с честными услугами не требуется доказать полноценное «meeting of the minds», то есть совпадающее преступное соглашение между плательщиком и должностным лицом. Однако суд одновременно подчеркнул, что должностное лицо должно понимать, что платёж связан с обязательством воздействовать на конкретный вопрос или дело, а не просто с неопределённым обещанием благоприятного отношения в будущем.</w:t>
      </w:r>
    </w:p>
    <w:p w14:paraId="43C39F0B"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Именно из-за этой ошибки в инструкциях присяжным Второй округ отменил часть обвинительных пунктов, но оставил в силе другие. Суд сформулировал принципиально важный стандарт: коррупционный состав не требует, чтобы чиновник заранее указал точный способ исполнения коррупционного обязательства, но требует, чтобы был определён конкретный «question or matter» — предмет официального влияния. </w:t>
      </w:r>
    </w:p>
    <w:p w14:paraId="42B95006"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В январе 2021 года Верховный суд США отказался рассматривать жалобу Сильвера, тем самым оставив в силе итоговый результат апелляционного пересмотра</w:t>
      </w:r>
    </w:p>
    <w:p w14:paraId="5A3FC6A7" w14:textId="77777777" w:rsidR="008A0739" w:rsidRPr="00EE50E8" w:rsidRDefault="008A0739" w:rsidP="008A0739">
      <w:pPr>
        <w:spacing w:before="100" w:beforeAutospacing="1" w:after="100" w:afterAutospacing="1" w:line="240" w:lineRule="auto"/>
        <w:jc w:val="both"/>
        <w:outlineLvl w:val="2"/>
        <w:rPr>
          <w:rFonts w:ascii="Times New Roman" w:eastAsia="Times New Roman" w:hAnsi="Times New Roman" w:cs="Times New Roman"/>
          <w:b/>
          <w:bCs/>
          <w:i/>
          <w:iCs/>
          <w:color w:val="000000"/>
          <w:kern w:val="0"/>
          <w:lang w:eastAsia="ru-RU"/>
          <w14:ligatures w14:val="none"/>
        </w:rPr>
      </w:pPr>
      <w:r w:rsidRPr="00EE50E8">
        <w:rPr>
          <w:rFonts w:ascii="Times New Roman" w:eastAsia="Times New Roman" w:hAnsi="Times New Roman" w:cs="Times New Roman"/>
          <w:b/>
          <w:bCs/>
          <w:i/>
          <w:iCs/>
          <w:color w:val="000000"/>
          <w:kern w:val="0"/>
          <w:lang w:eastAsia="ru-RU"/>
          <w14:ligatures w14:val="none"/>
        </w:rPr>
        <w:t>5. Последствия</w:t>
      </w:r>
    </w:p>
    <w:p w14:paraId="5BB4D1A7"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 xml:space="preserve">Итоговое наказание Сильвера после апелляционных корректировок составило 6,5 года лишения свободы. В августе 2020 года он начал отбывать наказание. Associated Press сообщало, что Сильвер, которому на тот момент было 76 лет, прибыл в федеральную </w:t>
      </w:r>
      <w:r w:rsidRPr="00EE50E8">
        <w:rPr>
          <w:rFonts w:ascii="Times New Roman" w:eastAsia="Times New Roman" w:hAnsi="Times New Roman" w:cs="Times New Roman"/>
          <w:color w:val="000000"/>
          <w:kern w:val="0"/>
          <w:lang w:eastAsia="ru-RU"/>
          <w14:ligatures w14:val="none"/>
        </w:rPr>
        <w:lastRenderedPageBreak/>
        <w:t>тюрьму после вынесения приговора к 6,5 годам лишения свободы по коррупционному делу. </w:t>
      </w:r>
    </w:p>
    <w:p w14:paraId="42DBDD78"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Символическое значение наказания было чрезвычайно высоким. Речь шла не о рядовом должностном лице, а о бывшем спикере законодательного органа одного из крупнейших и наиболее политически значимых штатов США. Поэтому дело имело демонстрационный характер: оно показывало, что даже устойчивое политическое влияние, длительный стаж публичной службы и институциональный авторитет не исключают уголовной ответственности за использование должности как источника частного обогащения.</w:t>
      </w:r>
    </w:p>
    <w:p w14:paraId="07CC0A5B"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Вместе с тем последствия дела оказались неоднозначными. С одной стороны, обвинительный итог подтвердил возможность федерального преследования высокопоставленных политиков штатов. С другой стороны, многократные апелляции, частичная отмена обвинительных пунктов и зависимость исхода от толкования понятия «official act» выявили уязвимость американской модели уголовно-правового противодействия политической коррупции.</w:t>
      </w:r>
    </w:p>
    <w:p w14:paraId="39B5FCA8"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Сильвер умер 24 января 2022 года, находясь под стражей и отбывая наказание; Associated Press со ссылкой на Федеральное бюро тюрем сообщало, что он умер в больнице в Айере, штат Массачусетс, когда числился заключённым федерального медицинского центра Devens. </w:t>
      </w:r>
    </w:p>
    <w:p w14:paraId="15AA8A55" w14:textId="77777777" w:rsidR="008A0739" w:rsidRPr="00EE50E8" w:rsidRDefault="008A0739" w:rsidP="008A0739">
      <w:pPr>
        <w:spacing w:before="100" w:beforeAutospacing="1" w:after="100" w:afterAutospacing="1" w:line="240" w:lineRule="auto"/>
        <w:jc w:val="both"/>
        <w:outlineLvl w:val="2"/>
        <w:rPr>
          <w:rFonts w:ascii="Times New Roman" w:eastAsia="Times New Roman" w:hAnsi="Times New Roman" w:cs="Times New Roman"/>
          <w:b/>
          <w:bCs/>
          <w:i/>
          <w:iCs/>
          <w:color w:val="000000"/>
          <w:kern w:val="0"/>
          <w:lang w:eastAsia="ru-RU"/>
          <w14:ligatures w14:val="none"/>
        </w:rPr>
      </w:pPr>
      <w:r w:rsidRPr="00EE50E8">
        <w:rPr>
          <w:rFonts w:ascii="Times New Roman" w:eastAsia="Times New Roman" w:hAnsi="Times New Roman" w:cs="Times New Roman"/>
          <w:b/>
          <w:bCs/>
          <w:i/>
          <w:iCs/>
          <w:color w:val="000000"/>
          <w:kern w:val="0"/>
          <w:lang w:eastAsia="ru-RU"/>
          <w14:ligatures w14:val="none"/>
        </w:rPr>
        <w:t>6. Институциональные эффекты</w:t>
      </w:r>
    </w:p>
    <w:p w14:paraId="4A89956D"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Институциональный эффект дела проявился прежде всего в уточнении пределов уголовной ответственности за политическую коррупцию в США. Кейс Сильвера оказался встроен в более широкий пост-</w:t>
      </w:r>
      <w:r w:rsidRPr="00EE50E8">
        <w:rPr>
          <w:rFonts w:ascii="Times New Roman" w:eastAsia="Times New Roman" w:hAnsi="Times New Roman" w:cs="Times New Roman"/>
          <w:i/>
          <w:iCs/>
          <w:color w:val="000000"/>
          <w:kern w:val="0"/>
          <w:lang w:eastAsia="ru-RU"/>
          <w14:ligatures w14:val="none"/>
        </w:rPr>
        <w:t>McDonnell</w:t>
      </w:r>
      <w:r w:rsidRPr="00EE50E8">
        <w:rPr>
          <w:rFonts w:ascii="Times New Roman" w:eastAsia="Times New Roman" w:hAnsi="Times New Roman" w:cs="Times New Roman"/>
          <w:color w:val="000000"/>
          <w:kern w:val="0"/>
          <w:lang w:eastAsia="ru-RU"/>
          <w14:ligatures w14:val="none"/>
        </w:rPr>
        <w:t> этап американской антикоррупционной практики, когда суды стали требовать более строгой связи между незаконной выгодой и конкретным официальным действием.</w:t>
      </w:r>
    </w:p>
    <w:p w14:paraId="1B36596E"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Первый эффект состоит в том, что дело подтвердило: </w:t>
      </w:r>
      <w:r w:rsidRPr="00EE50E8">
        <w:rPr>
          <w:rFonts w:ascii="Times New Roman" w:eastAsia="Times New Roman" w:hAnsi="Times New Roman" w:cs="Times New Roman"/>
          <w:b/>
          <w:bCs/>
          <w:color w:val="000000"/>
          <w:kern w:val="0"/>
          <w:lang w:eastAsia="ru-RU"/>
          <w14:ligatures w14:val="none"/>
        </w:rPr>
        <w:t>не всякая продажа политического доступа автоматически образует федеральное коррупционное преступление</w:t>
      </w:r>
      <w:r w:rsidRPr="00EE50E8">
        <w:rPr>
          <w:rFonts w:ascii="Times New Roman" w:eastAsia="Times New Roman" w:hAnsi="Times New Roman" w:cs="Times New Roman"/>
          <w:color w:val="000000"/>
          <w:kern w:val="0"/>
          <w:lang w:eastAsia="ru-RU"/>
          <w14:ligatures w14:val="none"/>
        </w:rPr>
        <w:t>. Для уголовной ответственности необходимо доказать не просто получение выгоды и наличие должности, а связь выгоды с конкретным вопросом, делом или формальным осуществлением публичной власти.</w:t>
      </w:r>
    </w:p>
    <w:p w14:paraId="0F119AD8"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Второй эффект заключается в повышении значения </w:t>
      </w:r>
      <w:r w:rsidRPr="00EE50E8">
        <w:rPr>
          <w:rFonts w:ascii="Times New Roman" w:eastAsia="Times New Roman" w:hAnsi="Times New Roman" w:cs="Times New Roman"/>
          <w:b/>
          <w:bCs/>
          <w:color w:val="000000"/>
          <w:kern w:val="0"/>
          <w:lang w:eastAsia="ru-RU"/>
          <w14:ligatures w14:val="none"/>
        </w:rPr>
        <w:t>инструкций присяжным</w:t>
      </w:r>
      <w:r w:rsidRPr="00EE50E8">
        <w:rPr>
          <w:rFonts w:ascii="Times New Roman" w:eastAsia="Times New Roman" w:hAnsi="Times New Roman" w:cs="Times New Roman"/>
          <w:color w:val="000000"/>
          <w:kern w:val="0"/>
          <w:lang w:eastAsia="ru-RU"/>
          <w14:ligatures w14:val="none"/>
        </w:rPr>
        <w:t>. В американской системе именно присяжные устанавливают фактическую виновность, но рамка их оценки задаётся судом. Ошибка в определении «official act» способна привести к отмене даже резонансного обвинительного приговора, что и произошло в первом цикле дела Сильвера.</w:t>
      </w:r>
    </w:p>
    <w:p w14:paraId="316E07B1"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Третий эффект связан с проблемой </w:t>
      </w:r>
      <w:r w:rsidRPr="00EE50E8">
        <w:rPr>
          <w:rFonts w:ascii="Times New Roman" w:eastAsia="Times New Roman" w:hAnsi="Times New Roman" w:cs="Times New Roman"/>
          <w:b/>
          <w:bCs/>
          <w:color w:val="000000"/>
          <w:kern w:val="0"/>
          <w:lang w:eastAsia="ru-RU"/>
          <w14:ligatures w14:val="none"/>
        </w:rPr>
        <w:t>совмещения публичной должности и частной профессиональной деятельности</w:t>
      </w:r>
      <w:r w:rsidRPr="00EE50E8">
        <w:rPr>
          <w:rFonts w:ascii="Times New Roman" w:eastAsia="Times New Roman" w:hAnsi="Times New Roman" w:cs="Times New Roman"/>
          <w:color w:val="000000"/>
          <w:kern w:val="0"/>
          <w:lang w:eastAsia="ru-RU"/>
          <w14:ligatures w14:val="none"/>
        </w:rPr>
        <w:t>. Сильвер получал выплаты не как прямые конвертные взятки, а как юридические referral fees. Это показывает, что коррупционные риски в развитых правовых системах часто возникают в пограничной зоне между легальной профессией, конфликтом интересов, лоббизмом и скрытым обменом публичного влияния на частный доход.</w:t>
      </w:r>
    </w:p>
    <w:p w14:paraId="6529E61E"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 xml:space="preserve">Четвёртый эффект состоит в укреплении роли федеральной юстиции как механизма контроля за коррупцией на уровне штатов. Хотя Сильвер был политиком штата Нью-Йорк, дело велось федеральными прокурорами, а квалификация строилась по федеральным </w:t>
      </w:r>
      <w:r w:rsidRPr="00EE50E8">
        <w:rPr>
          <w:rFonts w:ascii="Times New Roman" w:eastAsia="Times New Roman" w:hAnsi="Times New Roman" w:cs="Times New Roman"/>
          <w:color w:val="000000"/>
          <w:kern w:val="0"/>
          <w:lang w:eastAsia="ru-RU"/>
          <w14:ligatures w14:val="none"/>
        </w:rPr>
        <w:lastRenderedPageBreak/>
        <w:t>уголовным нормам. Такая модель отражает американскую специфику: федеральные составы используются как инструмент преследования коррупции, способной затрагивать межштатную торговлю, почтовые и электронные коммуникации или честность публичной службы.</w:t>
      </w:r>
    </w:p>
    <w:p w14:paraId="136DFE6B" w14:textId="77777777" w:rsidR="008A0739" w:rsidRPr="00EE50E8" w:rsidRDefault="008A0739" w:rsidP="008A0739">
      <w:pPr>
        <w:spacing w:before="100" w:beforeAutospacing="1" w:after="100" w:afterAutospacing="1" w:line="240" w:lineRule="auto"/>
        <w:jc w:val="both"/>
        <w:outlineLvl w:val="2"/>
        <w:rPr>
          <w:rFonts w:ascii="Times New Roman" w:eastAsia="Times New Roman" w:hAnsi="Times New Roman" w:cs="Times New Roman"/>
          <w:b/>
          <w:bCs/>
          <w:color w:val="000000"/>
          <w:kern w:val="0"/>
          <w:lang w:eastAsia="ru-RU"/>
          <w14:ligatures w14:val="none"/>
        </w:rPr>
      </w:pPr>
      <w:r w:rsidRPr="00EE50E8">
        <w:rPr>
          <w:rFonts w:ascii="Times New Roman" w:eastAsia="Times New Roman" w:hAnsi="Times New Roman" w:cs="Times New Roman"/>
          <w:b/>
          <w:bCs/>
          <w:color w:val="000000"/>
          <w:kern w:val="0"/>
          <w:lang w:eastAsia="ru-RU"/>
          <w14:ligatures w14:val="none"/>
        </w:rPr>
        <w:t>7. Выводы и уроки для антикоррупционной политики</w:t>
      </w:r>
    </w:p>
    <w:p w14:paraId="7DC60976"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b/>
          <w:bCs/>
          <w:color w:val="000000"/>
          <w:kern w:val="0"/>
          <w:lang w:eastAsia="ru-RU"/>
          <w14:ligatures w14:val="none"/>
        </w:rPr>
        <w:t>Первый вывод:</w:t>
      </w:r>
      <w:r w:rsidRPr="00EE50E8">
        <w:rPr>
          <w:rFonts w:ascii="Times New Roman" w:eastAsia="Times New Roman" w:hAnsi="Times New Roman" w:cs="Times New Roman"/>
          <w:color w:val="000000"/>
          <w:kern w:val="0"/>
          <w:lang w:eastAsia="ru-RU"/>
          <w14:ligatures w14:val="none"/>
        </w:rPr>
        <w:t> дело Сильвера показывает, что элитная коррупция может существовать не только в форме прямой взятки, но и в форме институционально замаскированного дохода. Чем выше статус должностного лица, тем чаще коррупционная выгода оформляется через консультационные договоры, юридические платежи, referral fees, пожертвования, лоббистские каналы или иные формально легальные конструкции.</w:t>
      </w:r>
    </w:p>
    <w:p w14:paraId="3165F5B8"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b/>
          <w:bCs/>
          <w:color w:val="000000"/>
          <w:kern w:val="0"/>
          <w:lang w:eastAsia="ru-RU"/>
          <w14:ligatures w14:val="none"/>
        </w:rPr>
        <w:t>Второй вывод:</w:t>
      </w:r>
      <w:r w:rsidRPr="00EE50E8">
        <w:rPr>
          <w:rFonts w:ascii="Times New Roman" w:eastAsia="Times New Roman" w:hAnsi="Times New Roman" w:cs="Times New Roman"/>
          <w:color w:val="000000"/>
          <w:kern w:val="0"/>
          <w:lang w:eastAsia="ru-RU"/>
          <w14:ligatures w14:val="none"/>
        </w:rPr>
        <w:t> ключевым элементом антикоррупционной политики должна быть прозрачность внешних доходов публичных должностных лиц. В деле Сильвера центральным риском было то, что доход от юридической деятельности пересекался с публичной властью и не позволял обществу ясно увидеть, где заканчивается профессиональная практика и начинается монетизация должностного влияния.</w:t>
      </w:r>
    </w:p>
    <w:p w14:paraId="2F906571"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b/>
          <w:bCs/>
          <w:color w:val="000000"/>
          <w:kern w:val="0"/>
          <w:lang w:eastAsia="ru-RU"/>
          <w14:ligatures w14:val="none"/>
        </w:rPr>
        <w:t>Третий вывод:</w:t>
      </w:r>
      <w:r w:rsidRPr="00EE50E8">
        <w:rPr>
          <w:rFonts w:ascii="Times New Roman" w:eastAsia="Times New Roman" w:hAnsi="Times New Roman" w:cs="Times New Roman"/>
          <w:color w:val="000000"/>
          <w:kern w:val="0"/>
          <w:lang w:eastAsia="ru-RU"/>
          <w14:ligatures w14:val="none"/>
        </w:rPr>
        <w:t> американский опыт демонстрирует значение точного законодательного и судебного определения коррупционного quid pro quo. Слишком широкое понимание «официального действия» может криминализировать обычное политическое взаимодействие; слишком узкое — создать пространство для фактической безнаказанности торговли доступом и влиянием. Дело Сильвера находится именно в этой зоне напряжения.</w:t>
      </w:r>
    </w:p>
    <w:p w14:paraId="51907279"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b/>
          <w:bCs/>
          <w:color w:val="000000"/>
          <w:kern w:val="0"/>
          <w:lang w:eastAsia="ru-RU"/>
          <w14:ligatures w14:val="none"/>
        </w:rPr>
        <w:t>Четвёртый вывод:</w:t>
      </w:r>
      <w:r w:rsidRPr="00EE50E8">
        <w:rPr>
          <w:rFonts w:ascii="Times New Roman" w:eastAsia="Times New Roman" w:hAnsi="Times New Roman" w:cs="Times New Roman"/>
          <w:color w:val="000000"/>
          <w:kern w:val="0"/>
          <w:lang w:eastAsia="ru-RU"/>
          <w14:ligatures w14:val="none"/>
        </w:rPr>
        <w:t> для правоприменения по делам высокопоставленных лиц решающее значение имеет не только наличие доказательств платежей, но и способность обвинения связать эти платежи с конкретным государственным вопросом. После </w:t>
      </w:r>
      <w:r w:rsidRPr="00EE50E8">
        <w:rPr>
          <w:rFonts w:ascii="Times New Roman" w:eastAsia="Times New Roman" w:hAnsi="Times New Roman" w:cs="Times New Roman"/>
          <w:i/>
          <w:iCs/>
          <w:color w:val="000000"/>
          <w:kern w:val="0"/>
          <w:lang w:eastAsia="ru-RU"/>
          <w14:ligatures w14:val="none"/>
        </w:rPr>
        <w:t>McDonnell</w:t>
      </w:r>
      <w:r w:rsidRPr="00EE50E8">
        <w:rPr>
          <w:rFonts w:ascii="Times New Roman" w:eastAsia="Times New Roman" w:hAnsi="Times New Roman" w:cs="Times New Roman"/>
          <w:color w:val="000000"/>
          <w:kern w:val="0"/>
          <w:lang w:eastAsia="ru-RU"/>
          <w14:ligatures w14:val="none"/>
        </w:rPr>
        <w:t> американские суды требуют, чтобы коррупционная выгода была привязана к «focused and concrete» вопросу, предполагающему формальное осуществление публичной власти. </w:t>
      </w:r>
    </w:p>
    <w:p w14:paraId="2D845E4E" w14:textId="77777777" w:rsidR="008A0739" w:rsidRPr="00EE50E8" w:rsidRDefault="008A0739" w:rsidP="008A0739">
      <w:p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b/>
          <w:bCs/>
          <w:color w:val="000000"/>
          <w:kern w:val="0"/>
          <w:lang w:eastAsia="ru-RU"/>
          <w14:ligatures w14:val="none"/>
        </w:rPr>
        <w:t>Пятый вывод:</w:t>
      </w:r>
      <w:r w:rsidRPr="00EE50E8">
        <w:rPr>
          <w:rFonts w:ascii="Times New Roman" w:eastAsia="Times New Roman" w:hAnsi="Times New Roman" w:cs="Times New Roman"/>
          <w:color w:val="000000"/>
          <w:kern w:val="0"/>
          <w:lang w:eastAsia="ru-RU"/>
          <w14:ligatures w14:val="none"/>
        </w:rPr>
        <w:t> кейс подчёркивает необходимость сочетания уголовно-правовых и превентивных механизмов. Уголовное преследование наступает уже после того, как публичная власть была превращена в источник частного дохода. Поэтому более эффективная антикоррупционная политика должна включать строгие правила раскрытия доходов, ограничения на внешнюю профессиональную деятельность, регулирование конфликта интересов, прозрачность лоббистских контактов и обязательную фиксацию оснований публичных решений.</w:t>
      </w:r>
    </w:p>
    <w:p w14:paraId="4A22A1B7" w14:textId="77777777" w:rsidR="008A0739" w:rsidRPr="00EE50E8" w:rsidRDefault="008A0739" w:rsidP="008A0739">
      <w:pPr>
        <w:spacing w:before="100" w:beforeAutospacing="1" w:after="100" w:afterAutospacing="1" w:line="240" w:lineRule="auto"/>
        <w:jc w:val="both"/>
        <w:outlineLvl w:val="1"/>
        <w:rPr>
          <w:rFonts w:ascii="Times New Roman" w:eastAsia="Times New Roman" w:hAnsi="Times New Roman" w:cs="Times New Roman"/>
          <w:b/>
          <w:bCs/>
          <w:i/>
          <w:iCs/>
          <w:color w:val="000000"/>
          <w:kern w:val="0"/>
          <w:lang w:eastAsia="ru-RU"/>
          <w14:ligatures w14:val="none"/>
        </w:rPr>
      </w:pPr>
      <w:r w:rsidRPr="00EE50E8">
        <w:rPr>
          <w:rFonts w:ascii="Times New Roman" w:eastAsia="Times New Roman" w:hAnsi="Times New Roman" w:cs="Times New Roman"/>
          <w:b/>
          <w:bCs/>
          <w:i/>
          <w:iCs/>
          <w:color w:val="000000"/>
          <w:kern w:val="0"/>
          <w:lang w:eastAsia="ru-RU"/>
          <w14:ligatures w14:val="none"/>
        </w:rPr>
        <w:t>8. Источники</w:t>
      </w:r>
    </w:p>
    <w:p w14:paraId="2DA2B8FB" w14:textId="77777777" w:rsidR="008A0739" w:rsidRPr="00EE50E8" w:rsidRDefault="008A0739" w:rsidP="008A0739">
      <w:pPr>
        <w:spacing w:before="100" w:beforeAutospacing="1" w:after="100" w:afterAutospacing="1" w:line="240" w:lineRule="auto"/>
        <w:jc w:val="both"/>
        <w:outlineLvl w:val="2"/>
        <w:rPr>
          <w:rFonts w:ascii="Times New Roman" w:eastAsia="Times New Roman" w:hAnsi="Times New Roman" w:cs="Times New Roman"/>
          <w:color w:val="000000"/>
          <w:kern w:val="0"/>
          <w:lang w:eastAsia="ru-RU"/>
          <w14:ligatures w14:val="none"/>
        </w:rPr>
      </w:pPr>
      <w:r w:rsidRPr="00EE50E8">
        <w:rPr>
          <w:rFonts w:ascii="Times New Roman" w:eastAsia="Times New Roman" w:hAnsi="Times New Roman" w:cs="Times New Roman"/>
          <w:color w:val="000000"/>
          <w:kern w:val="0"/>
          <w:lang w:eastAsia="ru-RU"/>
          <w14:ligatures w14:val="none"/>
        </w:rPr>
        <w:t>Нормативные правовые акты США</w:t>
      </w:r>
    </w:p>
    <w:p w14:paraId="569F444F" w14:textId="77777777" w:rsidR="008A0739" w:rsidRPr="001750A4" w:rsidRDefault="008A0739" w:rsidP="008A0739">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lang w:val="en-US" w:eastAsia="ru-RU"/>
          <w14:ligatures w14:val="none"/>
        </w:rPr>
      </w:pPr>
      <w:r w:rsidRPr="001750A4">
        <w:rPr>
          <w:rFonts w:ascii="Times New Roman" w:eastAsia="Times New Roman" w:hAnsi="Times New Roman" w:cs="Times New Roman"/>
          <w:color w:val="000000"/>
          <w:kern w:val="0"/>
          <w:lang w:val="en-US" w:eastAsia="ru-RU"/>
          <w14:ligatures w14:val="none"/>
        </w:rPr>
        <w:t>18 U.S.C. § 1341. Frauds and swindles // Legal Information Institute. Cornell Law School. URL: </w:t>
      </w:r>
      <w:hyperlink r:id="rId5" w:tgtFrame="_new" w:history="1">
        <w:r w:rsidRPr="001750A4">
          <w:rPr>
            <w:rFonts w:ascii="Times New Roman" w:eastAsia="Times New Roman" w:hAnsi="Times New Roman" w:cs="Times New Roman"/>
            <w:color w:val="0000FF"/>
            <w:kern w:val="0"/>
            <w:u w:val="single"/>
            <w:lang w:val="en-US" w:eastAsia="ru-RU"/>
            <w14:ligatures w14:val="none"/>
          </w:rPr>
          <w:t>https://www.law.cornell.edu/uscode/text/18/1341</w:t>
        </w:r>
      </w:hyperlink>
      <w:r w:rsidRPr="001750A4">
        <w:rPr>
          <w:rFonts w:ascii="Times New Roman" w:eastAsia="Times New Roman" w:hAnsi="Times New Roman" w:cs="Times New Roman"/>
          <w:color w:val="000000"/>
          <w:kern w:val="0"/>
          <w:lang w:val="en-US" w:eastAsia="ru-RU"/>
          <w14:ligatures w14:val="none"/>
        </w:rPr>
        <w:t> </w:t>
      </w:r>
    </w:p>
    <w:p w14:paraId="370C5D59" w14:textId="77777777" w:rsidR="008A0739" w:rsidRPr="001750A4" w:rsidRDefault="008A0739" w:rsidP="008A0739">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lang w:val="en-US" w:eastAsia="ru-RU"/>
          <w14:ligatures w14:val="none"/>
        </w:rPr>
      </w:pPr>
      <w:r w:rsidRPr="001750A4">
        <w:rPr>
          <w:rFonts w:ascii="Times New Roman" w:eastAsia="Times New Roman" w:hAnsi="Times New Roman" w:cs="Times New Roman"/>
          <w:color w:val="000000"/>
          <w:kern w:val="0"/>
          <w:lang w:val="en-US" w:eastAsia="ru-RU"/>
          <w14:ligatures w14:val="none"/>
        </w:rPr>
        <w:t>18 U.S.C. § 1346. Definition of “scheme or artifice to defraud” // Legal Information Institute. Cornell Law School. URL: </w:t>
      </w:r>
      <w:hyperlink r:id="rId6" w:tgtFrame="_new" w:history="1">
        <w:r w:rsidRPr="001750A4">
          <w:rPr>
            <w:rFonts w:ascii="Times New Roman" w:eastAsia="Times New Roman" w:hAnsi="Times New Roman" w:cs="Times New Roman"/>
            <w:color w:val="0000FF"/>
            <w:kern w:val="0"/>
            <w:u w:val="single"/>
            <w:lang w:val="en-US" w:eastAsia="ru-RU"/>
            <w14:ligatures w14:val="none"/>
          </w:rPr>
          <w:t>https://www.law.cornell.edu/uscode/text/18/1346</w:t>
        </w:r>
      </w:hyperlink>
      <w:r w:rsidRPr="001750A4">
        <w:rPr>
          <w:rFonts w:ascii="Times New Roman" w:eastAsia="Times New Roman" w:hAnsi="Times New Roman" w:cs="Times New Roman"/>
          <w:color w:val="000000"/>
          <w:kern w:val="0"/>
          <w:lang w:val="en-US" w:eastAsia="ru-RU"/>
          <w14:ligatures w14:val="none"/>
        </w:rPr>
        <w:t> </w:t>
      </w:r>
    </w:p>
    <w:p w14:paraId="7065E038" w14:textId="77777777" w:rsidR="008A0739" w:rsidRPr="001750A4" w:rsidRDefault="008A0739" w:rsidP="008A0739">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lang w:val="en-US" w:eastAsia="ru-RU"/>
          <w14:ligatures w14:val="none"/>
        </w:rPr>
      </w:pPr>
      <w:r w:rsidRPr="001750A4">
        <w:rPr>
          <w:rFonts w:ascii="Times New Roman" w:eastAsia="Times New Roman" w:hAnsi="Times New Roman" w:cs="Times New Roman"/>
          <w:color w:val="000000"/>
          <w:kern w:val="0"/>
          <w:lang w:val="en-US" w:eastAsia="ru-RU"/>
          <w14:ligatures w14:val="none"/>
        </w:rPr>
        <w:t>18 U.S.C. § 1951. Interference with commerce by threats or violence // Legal Information Institute. Cornell Law School. URL: </w:t>
      </w:r>
      <w:hyperlink r:id="rId7" w:tgtFrame="_new" w:history="1">
        <w:r w:rsidRPr="001750A4">
          <w:rPr>
            <w:rFonts w:ascii="Times New Roman" w:eastAsia="Times New Roman" w:hAnsi="Times New Roman" w:cs="Times New Roman"/>
            <w:color w:val="0000FF"/>
            <w:kern w:val="0"/>
            <w:u w:val="single"/>
            <w:lang w:val="en-US" w:eastAsia="ru-RU"/>
            <w14:ligatures w14:val="none"/>
          </w:rPr>
          <w:t>https://www.law.cornell.edu/uscode/text/18/1951</w:t>
        </w:r>
      </w:hyperlink>
      <w:r w:rsidRPr="001750A4">
        <w:rPr>
          <w:rFonts w:ascii="Times New Roman" w:eastAsia="Times New Roman" w:hAnsi="Times New Roman" w:cs="Times New Roman"/>
          <w:color w:val="000000"/>
          <w:kern w:val="0"/>
          <w:lang w:val="en-US" w:eastAsia="ru-RU"/>
          <w14:ligatures w14:val="none"/>
        </w:rPr>
        <w:t> </w:t>
      </w:r>
    </w:p>
    <w:p w14:paraId="0F57A9BA" w14:textId="77777777" w:rsidR="008A0739" w:rsidRPr="00EE50E8" w:rsidRDefault="008A0739" w:rsidP="008A0739">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50A4">
        <w:rPr>
          <w:rFonts w:ascii="Times New Roman" w:eastAsia="Times New Roman" w:hAnsi="Times New Roman" w:cs="Times New Roman"/>
          <w:color w:val="000000"/>
          <w:kern w:val="0"/>
          <w:lang w:val="en-US" w:eastAsia="ru-RU"/>
          <w14:ligatures w14:val="none"/>
        </w:rPr>
        <w:lastRenderedPageBreak/>
        <w:t xml:space="preserve">McDonnell v. United States, 579 U.S. 550 (2016) // Supreme Court of the United States. </w:t>
      </w:r>
      <w:r w:rsidRPr="00EE50E8">
        <w:rPr>
          <w:rFonts w:ascii="Times New Roman" w:eastAsia="Times New Roman" w:hAnsi="Times New Roman" w:cs="Times New Roman"/>
          <w:color w:val="000000"/>
          <w:kern w:val="0"/>
          <w:lang w:eastAsia="ru-RU"/>
          <w14:ligatures w14:val="none"/>
        </w:rPr>
        <w:t>URL: </w:t>
      </w:r>
      <w:hyperlink r:id="rId8" w:tgtFrame="_new" w:history="1">
        <w:r w:rsidRPr="00EE50E8">
          <w:rPr>
            <w:rFonts w:ascii="Times New Roman" w:eastAsia="Times New Roman" w:hAnsi="Times New Roman" w:cs="Times New Roman"/>
            <w:color w:val="0000FF"/>
            <w:kern w:val="0"/>
            <w:u w:val="single"/>
            <w:lang w:eastAsia="ru-RU"/>
            <w14:ligatures w14:val="none"/>
          </w:rPr>
          <w:t>https://supreme.justia.com/cases/federal/us/579/15-474/</w:t>
        </w:r>
      </w:hyperlink>
      <w:r w:rsidRPr="00EE50E8">
        <w:rPr>
          <w:rFonts w:ascii="Times New Roman" w:eastAsia="Times New Roman" w:hAnsi="Times New Roman" w:cs="Times New Roman"/>
          <w:color w:val="000000"/>
          <w:kern w:val="0"/>
          <w:lang w:eastAsia="ru-RU"/>
          <w14:ligatures w14:val="none"/>
        </w:rPr>
        <w:t> </w:t>
      </w:r>
    </w:p>
    <w:p w14:paraId="3116EEE8" w14:textId="77777777" w:rsidR="008A0739" w:rsidRPr="001750A4" w:rsidRDefault="008A0739" w:rsidP="008A0739">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val="en-US" w:eastAsia="ru-RU"/>
          <w14:ligatures w14:val="none"/>
        </w:rPr>
      </w:pPr>
      <w:r w:rsidRPr="001750A4">
        <w:rPr>
          <w:rFonts w:ascii="Times New Roman" w:eastAsia="Times New Roman" w:hAnsi="Times New Roman" w:cs="Times New Roman"/>
          <w:color w:val="000000"/>
          <w:kern w:val="0"/>
          <w:lang w:val="en-US" w:eastAsia="ru-RU"/>
          <w14:ligatures w14:val="none"/>
        </w:rPr>
        <w:t>United States v. Silver, No. 18-2380, 948 F.3d 538 (2d Cir. 2020) // United States Court of Appeals for the Second Circuit. Justia. URL: </w:t>
      </w:r>
      <w:hyperlink r:id="rId9" w:tgtFrame="_new" w:history="1">
        <w:r w:rsidRPr="001750A4">
          <w:rPr>
            <w:rFonts w:ascii="Times New Roman" w:eastAsia="Times New Roman" w:hAnsi="Times New Roman" w:cs="Times New Roman"/>
            <w:color w:val="0000FF"/>
            <w:kern w:val="0"/>
            <w:u w:val="single"/>
            <w:lang w:val="en-US" w:eastAsia="ru-RU"/>
            <w14:ligatures w14:val="none"/>
          </w:rPr>
          <w:t>https://law.justia.com/cases/federal/appellate-courts/ca2/18-2380/18-2380-2020-01-21.html</w:t>
        </w:r>
      </w:hyperlink>
    </w:p>
    <w:p w14:paraId="57D805CF" w14:textId="77777777" w:rsidR="008A0739" w:rsidRPr="00EE50E8" w:rsidRDefault="008A0739" w:rsidP="008A0739">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50A4">
        <w:rPr>
          <w:rFonts w:ascii="Times New Roman" w:eastAsia="Times New Roman" w:hAnsi="Times New Roman" w:cs="Times New Roman"/>
          <w:color w:val="000000"/>
          <w:kern w:val="0"/>
          <w:lang w:val="en-US" w:eastAsia="ru-RU"/>
          <w14:ligatures w14:val="none"/>
        </w:rPr>
        <w:t xml:space="preserve">Silver v. United States, No. 20-60, 592 U.S. ___ (2021) // Supreme Court of the United States. </w:t>
      </w:r>
      <w:r w:rsidRPr="00EE50E8">
        <w:rPr>
          <w:rFonts w:ascii="Times New Roman" w:eastAsia="Times New Roman" w:hAnsi="Times New Roman" w:cs="Times New Roman"/>
          <w:color w:val="000000"/>
          <w:kern w:val="0"/>
          <w:lang w:eastAsia="ru-RU"/>
          <w14:ligatures w14:val="none"/>
        </w:rPr>
        <w:t>25 January 2021. URL: </w:t>
      </w:r>
      <w:hyperlink r:id="rId10" w:tgtFrame="_new" w:history="1">
        <w:r w:rsidRPr="00EE50E8">
          <w:rPr>
            <w:rFonts w:ascii="Times New Roman" w:eastAsia="Times New Roman" w:hAnsi="Times New Roman" w:cs="Times New Roman"/>
            <w:color w:val="0000FF"/>
            <w:kern w:val="0"/>
            <w:u w:val="single"/>
            <w:lang w:eastAsia="ru-RU"/>
            <w14:ligatures w14:val="none"/>
          </w:rPr>
          <w:t>https://www.supremecourt.gov/opinions/20pdf/20-60_h315.pdf</w:t>
        </w:r>
      </w:hyperlink>
      <w:r w:rsidRPr="00EE50E8">
        <w:rPr>
          <w:rFonts w:ascii="Times New Roman" w:eastAsia="Times New Roman" w:hAnsi="Times New Roman" w:cs="Times New Roman"/>
          <w:color w:val="000000"/>
          <w:kern w:val="0"/>
          <w:lang w:eastAsia="ru-RU"/>
          <w14:ligatures w14:val="none"/>
        </w:rPr>
        <w:t> </w:t>
      </w:r>
    </w:p>
    <w:p w14:paraId="1563B3A3" w14:textId="77777777" w:rsidR="008A0739" w:rsidRPr="00EE50E8" w:rsidRDefault="008A0739" w:rsidP="008A0739">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eastAsia="ru-RU"/>
          <w14:ligatures w14:val="none"/>
        </w:rPr>
      </w:pPr>
      <w:r w:rsidRPr="001750A4">
        <w:rPr>
          <w:rFonts w:ascii="Times New Roman" w:eastAsia="Times New Roman" w:hAnsi="Times New Roman" w:cs="Times New Roman"/>
          <w:color w:val="000000"/>
          <w:kern w:val="0"/>
          <w:lang w:val="en-US" w:eastAsia="ru-RU"/>
          <w14:ligatures w14:val="none"/>
        </w:rPr>
        <w:t xml:space="preserve">Docket for No. 20-60: Sheldon Silver v. United States, et al. // Supreme Court of the United States. </w:t>
      </w:r>
      <w:r w:rsidRPr="00EE50E8">
        <w:rPr>
          <w:rFonts w:ascii="Times New Roman" w:eastAsia="Times New Roman" w:hAnsi="Times New Roman" w:cs="Times New Roman"/>
          <w:color w:val="000000"/>
          <w:kern w:val="0"/>
          <w:lang w:eastAsia="ru-RU"/>
          <w14:ligatures w14:val="none"/>
        </w:rPr>
        <w:t>URL: </w:t>
      </w:r>
      <w:hyperlink r:id="rId11" w:tgtFrame="_new" w:history="1">
        <w:r w:rsidRPr="00EE50E8">
          <w:rPr>
            <w:rFonts w:ascii="Times New Roman" w:eastAsia="Times New Roman" w:hAnsi="Times New Roman" w:cs="Times New Roman"/>
            <w:color w:val="0000FF"/>
            <w:kern w:val="0"/>
            <w:u w:val="single"/>
            <w:lang w:eastAsia="ru-RU"/>
            <w14:ligatures w14:val="none"/>
          </w:rPr>
          <w:t>https://www.supremecourt.gov/docket/docketfiles/html/public/20-60.html</w:t>
        </w:r>
      </w:hyperlink>
      <w:r w:rsidRPr="00EE50E8">
        <w:rPr>
          <w:rFonts w:ascii="Times New Roman" w:eastAsia="Times New Roman" w:hAnsi="Times New Roman" w:cs="Times New Roman"/>
          <w:color w:val="000000"/>
          <w:kern w:val="0"/>
          <w:lang w:eastAsia="ru-RU"/>
          <w14:ligatures w14:val="none"/>
        </w:rPr>
        <w:t> </w:t>
      </w:r>
    </w:p>
    <w:p w14:paraId="631CB723" w14:textId="77777777" w:rsidR="007C1520" w:rsidRDefault="007C1520"/>
    <w:sectPr w:rsidR="007C152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E645E"/>
    <w:multiLevelType w:val="multilevel"/>
    <w:tmpl w:val="5AC21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AD22B0"/>
    <w:multiLevelType w:val="multilevel"/>
    <w:tmpl w:val="CC6E44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39"/>
    <w:rsid w:val="00657B44"/>
    <w:rsid w:val="007C1520"/>
    <w:rsid w:val="008A07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22834"/>
  <w15:chartTrackingRefBased/>
  <w15:docId w15:val="{105E8244-1FB5-4DE0-A44E-744483F42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0739"/>
    <w:pPr>
      <w:spacing w:line="278"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reme.justia.com/cases/federal/us/579/15-474/?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aw.cornell.edu/uscode/text/18/1951?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cornell.edu/uscode/text/18/1346?utm_source=chatgpt.com" TargetMode="External"/><Relationship Id="rId11" Type="http://schemas.openxmlformats.org/officeDocument/2006/relationships/hyperlink" Target="https://www.supremecourt.gov/docket/docketfiles/html/public/20-60.html?utm_source=chatgpt.com" TargetMode="External"/><Relationship Id="rId5" Type="http://schemas.openxmlformats.org/officeDocument/2006/relationships/hyperlink" Target="https://www.law.cornell.edu/uscode/text/18/1341?utm_source=chatgpt.com" TargetMode="External"/><Relationship Id="rId10" Type="http://schemas.openxmlformats.org/officeDocument/2006/relationships/hyperlink" Target="https://www.supremecourt.gov/opinions/20pdf/20-60_h315.pdf?utm_source=chatgpt.com" TargetMode="External"/><Relationship Id="rId4" Type="http://schemas.openxmlformats.org/officeDocument/2006/relationships/webSettings" Target="webSettings.xml"/><Relationship Id="rId9" Type="http://schemas.openxmlformats.org/officeDocument/2006/relationships/hyperlink" Target="https://law.justia.com/cases/federal/appellate-courts/ca2/18-2380/18-2380-2020-01-21.html?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2461</Words>
  <Characters>14028</Characters>
  <Application>Microsoft Office Word</Application>
  <DocSecurity>0</DocSecurity>
  <Lines>116</Lines>
  <Paragraphs>32</Paragraphs>
  <ScaleCrop>false</ScaleCrop>
  <Company/>
  <LinksUpToDate>false</LinksUpToDate>
  <CharactersWithSpaces>16457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Молодиченко</dc:creator>
  <cp:keywords/>
  <dc:description/>
  <cp:lastModifiedBy>Никита Молодиченко</cp:lastModifiedBy>
  <cp:revision>1</cp:revision>
  <dcterms:created xsi:type="dcterms:W3CDTF">2026-05-02T15:55:00Z</dcterms:created>
  <dcterms:modified xsi:type="dcterms:W3CDTF">2026-05-02T15:55:00Z</dcterms:modified>
</cp:coreProperties>
</file>