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4EE4" w14:textId="77777777" w:rsidR="007D39C4" w:rsidRPr="00EE50E8" w:rsidRDefault="007D39C4" w:rsidP="007D39C4">
      <w:pPr>
        <w:jc w:val="center"/>
        <w:rPr>
          <w:rFonts w:ascii="Times New Roman" w:hAnsi="Times New Roman" w:cs="Times New Roman"/>
          <w:b/>
          <w:bCs/>
          <w:u w:val="single"/>
          <w:lang w:eastAsia="ru-RU"/>
        </w:rPr>
      </w:pPr>
      <w:r w:rsidRPr="00EE50E8">
        <w:rPr>
          <w:rFonts w:ascii="Times New Roman" w:hAnsi="Times New Roman" w:cs="Times New Roman"/>
          <w:b/>
          <w:bCs/>
          <w:u w:val="single"/>
          <w:lang w:eastAsia="ru-RU"/>
        </w:rPr>
        <w:t>Кейс №5:</w:t>
      </w:r>
      <w:r w:rsidRPr="00EE50E8">
        <w:rPr>
          <w:rFonts w:ascii="Times New Roman" w:hAnsi="Times New Roman" w:cs="Times New Roman"/>
          <w:b/>
          <w:bCs/>
          <w:kern w:val="0"/>
          <w:u w:val="single"/>
          <w:lang w:eastAsia="ru-RU"/>
        </w:rPr>
        <w:t xml:space="preserve"> Дато Сри Мохд Наджиб бин Абдул Разак</w:t>
      </w:r>
      <w:r w:rsidRPr="00EE50E8">
        <w:rPr>
          <w:rFonts w:ascii="Times New Roman" w:hAnsi="Times New Roman" w:cs="Times New Roman"/>
          <w:b/>
          <w:bCs/>
          <w:u w:val="single"/>
          <w:lang w:eastAsia="ru-RU"/>
        </w:rPr>
        <w:t>, Малайзия</w:t>
      </w:r>
    </w:p>
    <w:p w14:paraId="3AF85439"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1. Базовые данные</w:t>
      </w:r>
    </w:p>
    <w:p w14:paraId="63C3EEEA"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i/>
          <w:iCs/>
          <w:kern w:val="0"/>
          <w:lang w:eastAsia="ru-RU"/>
        </w:rPr>
        <w:t>Страна/юрисдикция:</w:t>
      </w:r>
      <w:r w:rsidRPr="00EE50E8">
        <w:rPr>
          <w:rFonts w:ascii="Times New Roman" w:hAnsi="Times New Roman" w:cs="Times New Roman"/>
          <w:kern w:val="0"/>
          <w:lang w:eastAsia="ru-RU"/>
        </w:rPr>
        <w:t> Малайзия.</w:t>
      </w:r>
    </w:p>
    <w:p w14:paraId="6EB16989"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i/>
          <w:iCs/>
          <w:kern w:val="0"/>
          <w:lang w:eastAsia="ru-RU"/>
        </w:rPr>
        <w:t>Годы развития дела:</w:t>
      </w:r>
      <w:r w:rsidRPr="00EE50E8">
        <w:rPr>
          <w:rFonts w:ascii="Times New Roman" w:hAnsi="Times New Roman" w:cs="Times New Roman"/>
          <w:kern w:val="0"/>
          <w:lang w:eastAsia="ru-RU"/>
        </w:rPr>
        <w:t> 2018–2022 гг. — возбуждение и рассмотрение ключевого уголовного дела; 2024 г. — последующее сокращение наказания Советом по помилованиям.</w:t>
      </w:r>
    </w:p>
    <w:p w14:paraId="272AA781"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i/>
          <w:iCs/>
          <w:kern w:val="0"/>
          <w:lang w:eastAsia="ru-RU"/>
        </w:rPr>
        <w:t>Уровень власти:</w:t>
      </w:r>
      <w:r w:rsidRPr="00EE50E8">
        <w:rPr>
          <w:rFonts w:ascii="Times New Roman" w:hAnsi="Times New Roman" w:cs="Times New Roman"/>
          <w:kern w:val="0"/>
          <w:lang w:eastAsia="ru-RU"/>
        </w:rPr>
        <w:t> высший уровень исполнительной власти.</w:t>
      </w:r>
    </w:p>
    <w:p w14:paraId="2A68C7B9"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i/>
          <w:iCs/>
          <w:kern w:val="0"/>
          <w:lang w:eastAsia="ru-RU"/>
        </w:rPr>
        <w:t>Отрасль риска:</w:t>
      </w:r>
      <w:r w:rsidRPr="00EE50E8">
        <w:rPr>
          <w:rFonts w:ascii="Times New Roman" w:hAnsi="Times New Roman" w:cs="Times New Roman"/>
          <w:kern w:val="0"/>
          <w:lang w:eastAsia="ru-RU"/>
        </w:rPr>
        <w:t> управление государственными инвестиционными фондами, государственные гарантии, публичные финансы, контроль над квазигосударственными компаниями.</w:t>
      </w:r>
    </w:p>
    <w:p w14:paraId="10C2BF1B"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i/>
          <w:iCs/>
          <w:kern w:val="0"/>
          <w:lang w:eastAsia="ru-RU"/>
        </w:rPr>
        <w:t>Тип коррупционного поведения:</w:t>
      </w:r>
      <w:r w:rsidRPr="00EE50E8">
        <w:rPr>
          <w:rFonts w:ascii="Times New Roman" w:hAnsi="Times New Roman" w:cs="Times New Roman"/>
          <w:kern w:val="0"/>
          <w:lang w:eastAsia="ru-RU"/>
        </w:rPr>
        <w:t> использование высшего публичного должностного положения для получения имущественной выгоды, злоупотребление полномочиями при принятии решений о государственных гарантиях, преступное распоряжение вверенными средствами и последующее вовлечение незаконных доходов в финансовый оборот.</w:t>
      </w:r>
    </w:p>
    <w:p w14:paraId="1A2A1972"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2. Фабула дела</w:t>
      </w:r>
    </w:p>
    <w:p w14:paraId="5C1EEB73"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Дело Наджиба Разака является одним из наиболее значимых антикоррупционных процессов в современной Юго-Восточной Азии, поскольку оно затронуло не периферийный уровень административной коррупции, а самую вершину государственной власти. В центре дела находилась компания SRC International Sdn Bhd, первоначально связанная с более широким скандалом вокруг государственного инвестиционного фонда Malaysia Development Berhad, 1MDB.</w:t>
      </w:r>
    </w:p>
    <w:p w14:paraId="293B8E18"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По версии обвинения, Наджиб Разак, одновременно занимая должности премьер-министра и министра финансов, использовал свое положение для продвижения решений правительства Малайзии о предоставлении государственных гарантий по финансированию SRC International. Эти гарантии позволили компании получить финансирование в размере 4 млрд малайзийских ринггитов от пенсионного фонда KWAP. Позднее часть средств SRC International — 42 млн ринггитов — была перечислена на личные банковские счета Наджиба Разака. Высокий суд Малайи указал, что обвинение связывало злоупотребление положением именно с участием Наджиба в заседаниях Кабинета министров 17 августа 2011 г. и 8 февраля 2012 г., где рассматривались государственные гарантии в пользу SRC International. </w:t>
      </w:r>
    </w:p>
    <w:p w14:paraId="6CC6F719"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Особенность дела состояла в том, что коррупционный механизм был встроен в формально легальные управленческие процедуры: решения принимались через Кабинет министров, финансирование проходило через институциональный канал, а движение денежных средств маскировалось под обычные финансовые операции. Поэтому антикоррупционная значимость кейса заключается не только в факте личного обогащения, но и в демонстрации того, как высшая политическая власть может трансформировать государственные гарантии, корпоративное управление и финансовое регулирование в инфраструктуру извлечения частной выгоды.</w:t>
      </w:r>
    </w:p>
    <w:p w14:paraId="280265C1"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 xml:space="preserve">В более широком контексте дело связано с глобальным скандалом 1MDB. Министерство юстиции США указывало, что в 2009–2015 гг. из средств 1MDB было незаконно выведено </w:t>
      </w:r>
      <w:r w:rsidRPr="00EE50E8">
        <w:rPr>
          <w:rFonts w:ascii="Times New Roman" w:hAnsi="Times New Roman" w:cs="Times New Roman"/>
          <w:kern w:val="0"/>
          <w:lang w:eastAsia="ru-RU"/>
        </w:rPr>
        <w:lastRenderedPageBreak/>
        <w:t>более 4,5 млрд долларов США, а часть активов затем отмывалась через международные финансовые и имущественные структуры. Именно международный характер финансовых потоков придал делу транснациональное значение и превратил его в пример современной клептократии, где национальная коррупция неразрывно связана с офшорными структурами, банками, рынком недвижимости и трансграничным взысканием активов.</w:t>
      </w:r>
    </w:p>
    <w:p w14:paraId="7F0677B3"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3. Правовая квалификация</w:t>
      </w:r>
    </w:p>
    <w:p w14:paraId="362AFF05"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 деле SRC International Наджибу Разаку были предъявлены семь обвинений. Федеральный суд Малайзии в решении от 23 августа 2022 г. указал, что первое обвинение касалось злоупотребления властью по статье 23 Malaysian Anti-Corruption Commission Act 2009, следующие три — преступного нарушения доверия по статье 409 Penal Code, а последние три — отмывания денежных средств по статье 4(1)(b) Anti-Money Laundering, Anti-Terrorism Financing and Proceeds of Unlawful Activities Act 2001. </w:t>
      </w:r>
    </w:p>
    <w:p w14:paraId="2A86395C"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С точки зрения малайзийского антикоррупционного законодательства ключевое значение имел section 23 MACC Act 2009, устанавливающий ответственность публичного должностного лица за использование должности или положения для получения вознаграждения либо иной выгоды. Особенность этой нормы состоит в том, что она охватывает не только прямое получение взятки в классическом смысле, но и более сложную форму коррупционного поведения — использование публичной должности в ситуации конфликта интересов для достижения частного имущественного результата.</w:t>
      </w:r>
    </w:p>
    <w:p w14:paraId="7A535064"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Высокий суд Малайи специально подчеркнул, что Наджиб Разак не заявил о своем интересе при рассмотрении Кабинетом министров вопросов о государственных гарантиях SRC International, не покинул заседания и, напротив, председательствовал на них; суд расценил это как юридически значимое использование публичного положения в ситуации конфликта интересов. </w:t>
      </w:r>
    </w:p>
    <w:p w14:paraId="69400197"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Вторая группа обвинений была связана со статьей 409 Penal Code, то есть преступным нарушением доверия публичным служащим или лицом, которому вверено имущество. Здесь правовая конструкция строилась на том, что Наджиб, обладая фактическим контролем над SRC International и выступая в качестве лица, чьи указания имели определяющее значение для директоров компании, мог рассматриваться как лицо, наделенное властью над имуществом компании. Высокий суд признал применимой концепцию фактического или «теневого» директора через статью 402A Penal Code, что усилило ответственность лица, формально не всегда действующего как обычный корпоративный директор, но фактически контролирующего поведение компании. </w:t>
      </w:r>
    </w:p>
    <w:p w14:paraId="5789E209"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Третья группа обвинений касалась отмывания денежных средств по статье 4(1)(b) AMLATFPUAA 2001. Обвинение утверждало, что 42 млн ринггитов, поступившие на личные счета Наджиба, являлись доходами от незаконной деятельности. Суд исходил из того, что для состава отмывания существенным является не только физическое получение денежных средств, но и знание либо разумное подозрение относительно их преступного происхождения. </w:t>
      </w:r>
    </w:p>
    <w:p w14:paraId="5FB1477D"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4. Ход дела</w:t>
      </w:r>
    </w:p>
    <w:p w14:paraId="2F10668B"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lastRenderedPageBreak/>
        <w:t>Уголовное преследование Наджиба Разака стало возможным после политической смены власти в Малайзии в 2018 г., когда скандал 1MDB перестал быть исключительно предметом журналистских расследований и иностранных процедур взыскания активов, а получил полноценное уголовно-правовое измерение внутри самой Малайзии.</w:t>
      </w:r>
    </w:p>
    <w:p w14:paraId="233ABE10"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Процесс в Высоком суде Малайи был продолжительным и доказательственно насыщенным. Федеральный суд позднее указал, что судебное разбирательство заняло не менее 86 дней, из которых 57 дней пришлись на дело обвинения и 29 дней — на позицию защиты. Суд также отметил значительный объем свидетелей и документов. </w:t>
      </w:r>
    </w:p>
    <w:p w14:paraId="1F9A1DF1"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28 июля 2020 г. Высокий суд Малайи признал Наджиба Разака виновным по всем семи обвинениям. Ему было назначено наказание в виде 12 лет лишения свободы и штрафа 210 млн ринггитов за злоупотребление положением; по каждому из трех эпизодов преступного злоупотребления доверием и по каждому из трех эпизодов отмывания денег были назначены сроки по 10 лет лишения свободы, при этом наказания подлежали фактическому одновременному выполнению.</w:t>
      </w:r>
    </w:p>
    <w:p w14:paraId="767B6DE1"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8 декабря 2021 г. Апелляционный суд Малайзии оставил обвинительный приговор в силе. 23 августа 2022 г. Федеральный суд Малайзии — высшая судебная инстанция страны — единогласно отклонил апелляции и подтвердил как виновность, так и назначенное наказание. В своем решении Федеральный суд подчеркнул, что дело, несмотря на политическую значимость фигуры подсудимого, с правовой точки зрения представлял собой «типичный кейс» злоупотребления властью, преступного нарушения доверия и отмывания денег. </w:t>
      </w:r>
    </w:p>
    <w:p w14:paraId="78334DF1"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Существенное место в процессе занимала позиция защиты, утверждавшей, что Наджиб не знал о преступном происхождении средств и полагал, что поступления на его счета являлись пожертвованиями из Саудовской Аравии. Федеральный суд признал эту позицию внутренне противоречивой и недостоверной, указав, что защита не смогла породить разумное сомнение в версии обвинения. </w:t>
      </w:r>
    </w:p>
    <w:p w14:paraId="63420478"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 2024 г. дело получило дополнительное политико-правовое развитие: Совет по помилованиям сократил срок лишения свободы с 12 до 6 лет и уменьшил штраф с 210 млн до 50 млн ринггитов. Это решение вызвало значительную общественную дискуссию, поскольку затронуло вопрос о допустимых пределах королевского помилования в делах о коррупции высших должностных лиц. </w:t>
      </w:r>
    </w:p>
    <w:p w14:paraId="76B25B6A"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5. Последствия</w:t>
      </w:r>
    </w:p>
    <w:p w14:paraId="3369D9F5"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Назначенное Наджибу Разаку наказание имело не только индивидуально-карательное, но и институционально-символическое значение.</w:t>
      </w:r>
    </w:p>
    <w:p w14:paraId="7EDB6DEF"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Во-первых, приговор продемонстрировал, что бывший глава правительства может быть привлечен к уголовной ответственности по общеуголовным и антикоррупционным нормам, если суд установит использование публичной должности для частной выгоды. Для стран с сильной исполнительной властью это имеет особую значимость: кейс показывает, что формальный иммунитет политического влияния не должен подменять юридическую безответственность.</w:t>
      </w:r>
    </w:p>
    <w:p w14:paraId="4315532C"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lastRenderedPageBreak/>
        <w:t>Во-вторых, дело выявило особую опасность совмещения политического руководства, контроля над публичными финансами и влияния на квазигосударственные компании. Наджиб одновременно обладал возможностью воздействовать на решения правительства, финансового ведомства и структур, связанных с государственными инвестициями. Именно такая концентрация функций создает повышенный риск конфликта интересов и превращения публичных финансов в инструмент личного или политического обогащения.</w:t>
      </w:r>
    </w:p>
    <w:p w14:paraId="2424A7D0"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В-третьих, крупный штраф и последующие процедуры взыскания активов показали, что борьба с элитной коррупцией не может ограничиваться лишением свободы. В делах, связанных с государственными фондами и отмыванием средств, центральным элементом антикоррупционного ответа становится возврат активов. В этом смысле международные процедуры по 1MDB имеют самостоятельное значение: Министерство юстиции США сообщало о возвращении Малайзии около 1,4 млрд долларов США активов, связанных с 1MDB. </w:t>
      </w:r>
    </w:p>
    <w:p w14:paraId="2D468E76"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В-четвертых, сокращение наказания в порядке помилования продемонстрировало уязвимость постсудебной стадии. Даже окончательный обвинительный приговор по делу о коррупции высшего уровня может быть частично нейтрализован политико-конституционными механизмами милости, если они недостаточно прозрачны и не сопровождаются убедительной публичной аргументацией.</w:t>
      </w:r>
    </w:p>
    <w:p w14:paraId="06D40BAE"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6. Институциональные эффекты</w:t>
      </w:r>
    </w:p>
    <w:p w14:paraId="0FD0B847"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 xml:space="preserve">Институциональный эффект дела проявился в нескольких направлениях: </w:t>
      </w:r>
    </w:p>
    <w:p w14:paraId="553A39C2" w14:textId="77777777" w:rsidR="007D39C4" w:rsidRPr="00EE50E8" w:rsidRDefault="007D39C4" w:rsidP="007D39C4">
      <w:pPr>
        <w:pStyle w:val="a3"/>
        <w:numPr>
          <w:ilvl w:val="0"/>
          <w:numId w:val="1"/>
        </w:numPr>
        <w:jc w:val="both"/>
        <w:rPr>
          <w:rFonts w:ascii="Times New Roman" w:hAnsi="Times New Roman" w:cs="Times New Roman"/>
          <w:kern w:val="0"/>
          <w:lang w:eastAsia="ru-RU"/>
        </w:rPr>
      </w:pPr>
      <w:r w:rsidRPr="00EE50E8">
        <w:rPr>
          <w:rFonts w:ascii="Times New Roman" w:hAnsi="Times New Roman" w:cs="Times New Roman"/>
          <w:kern w:val="0"/>
          <w:lang w:eastAsia="ru-RU"/>
        </w:rPr>
        <w:t>Прежде всего, кейс показал, что государственные инвестиционные фонды и компании специального назначения нуждаются в особенно жесткой системе контроля. Формально они могут существовать как корпоративные структуры, но фактически управлять публичными ресурсами, государственными гарантиями и долгосрочными финансовыми обязательствами государства. Поэтому обычных корпоративных процедур недостаточно: необходимы публичная отчетность, независимый аудит, парламентский контроль и раскрытие бенефициарного влияния.</w:t>
      </w:r>
    </w:p>
    <w:p w14:paraId="35C6A9A2" w14:textId="77777777" w:rsidR="007D39C4" w:rsidRPr="00EE50E8" w:rsidRDefault="007D39C4" w:rsidP="007D39C4">
      <w:pPr>
        <w:pStyle w:val="a3"/>
        <w:numPr>
          <w:ilvl w:val="0"/>
          <w:numId w:val="1"/>
        </w:numPr>
        <w:jc w:val="both"/>
        <w:rPr>
          <w:rFonts w:ascii="Times New Roman" w:hAnsi="Times New Roman" w:cs="Times New Roman"/>
          <w:kern w:val="0"/>
          <w:lang w:eastAsia="ru-RU"/>
        </w:rPr>
      </w:pPr>
      <w:r w:rsidRPr="00EE50E8">
        <w:rPr>
          <w:rFonts w:ascii="Times New Roman" w:hAnsi="Times New Roman" w:cs="Times New Roman"/>
          <w:kern w:val="0"/>
          <w:lang w:eastAsia="ru-RU"/>
        </w:rPr>
        <w:t>Далее, дело продемонстрировало опасность неформального контроля. Наджиб не обязательно должен был единолично подписывать каждый спорный финансовый документ: для уголовно-правовой оценки существенным оказалось то, что его политический и должностной статус создавал управленческую среду, в которой подчиненные и связанные структуры действовали в соответствии с его интересами. Именно поэтому суд уделил внимание не только формальным полномочиям, но и фактическому влиянию на директоров SRC International. </w:t>
      </w:r>
    </w:p>
    <w:p w14:paraId="216683BF" w14:textId="77777777" w:rsidR="007D39C4" w:rsidRPr="00EE50E8" w:rsidRDefault="007D39C4" w:rsidP="007D39C4">
      <w:pPr>
        <w:pStyle w:val="a3"/>
        <w:numPr>
          <w:ilvl w:val="0"/>
          <w:numId w:val="1"/>
        </w:numPr>
        <w:jc w:val="both"/>
        <w:rPr>
          <w:rFonts w:ascii="Times New Roman" w:hAnsi="Times New Roman" w:cs="Times New Roman"/>
          <w:kern w:val="0"/>
          <w:lang w:eastAsia="ru-RU"/>
        </w:rPr>
      </w:pPr>
      <w:r w:rsidRPr="00EE50E8">
        <w:rPr>
          <w:rFonts w:ascii="Times New Roman" w:hAnsi="Times New Roman" w:cs="Times New Roman"/>
          <w:kern w:val="0"/>
          <w:lang w:eastAsia="ru-RU"/>
        </w:rPr>
        <w:t>Еще один эффект связан с развитием транснационального измерения антикоррупционной политики. Дело 1MDB показало, что коррупция высших должностных лиц редко остается внутри национальных границ. Незаконные средства перемещаются через банки, офшорные компании, рынок недвижимости, предметы роскоши и индустрию развлечений. Поэтому эффективное расследование требует международной правовой помощи, механизмов конфискации активов и сотрудничества финансовых разведок.</w:t>
      </w:r>
    </w:p>
    <w:p w14:paraId="74D8EC55" w14:textId="77777777" w:rsidR="007D39C4" w:rsidRPr="00EE50E8" w:rsidRDefault="007D39C4" w:rsidP="007D39C4">
      <w:pPr>
        <w:pStyle w:val="a3"/>
        <w:numPr>
          <w:ilvl w:val="0"/>
          <w:numId w:val="1"/>
        </w:numPr>
        <w:jc w:val="both"/>
        <w:rPr>
          <w:rFonts w:ascii="Times New Roman" w:hAnsi="Times New Roman" w:cs="Times New Roman"/>
          <w:kern w:val="0"/>
          <w:lang w:eastAsia="ru-RU"/>
        </w:rPr>
      </w:pPr>
      <w:r w:rsidRPr="00EE50E8">
        <w:rPr>
          <w:rFonts w:ascii="Times New Roman" w:hAnsi="Times New Roman" w:cs="Times New Roman"/>
          <w:kern w:val="0"/>
          <w:lang w:eastAsia="ru-RU"/>
        </w:rPr>
        <w:lastRenderedPageBreak/>
        <w:t>Кейс оказал влияние на общественное понимание коррупции. Он показал, что коррупционное поведение может быть не только передачей наличной взятки должностному лицу, но и сложной системой решений, гарантий, корпоративного контроля, финансовых переводов и последующей легализации средств.</w:t>
      </w:r>
    </w:p>
    <w:p w14:paraId="40EF70B1"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eastAsia="ru-RU"/>
        </w:rPr>
        <w:t>7. Выводы и уроки для антикоррупционной политики</w:t>
      </w:r>
    </w:p>
    <w:p w14:paraId="3CC2FADC"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Первый вывод: дело Наджиба Разака показывает, что наиболее опасные коррупционные практики возникают там, где совпадают три фактора: концентрация политической власти, контроль над публичными финансами и слабая прозрачность квазигосударственных структур.</w:t>
      </w:r>
    </w:p>
    <w:p w14:paraId="1F1EAB7B"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Второй вывод: антикоррупционное регулирование должно уделять особое внимание конфликту интересов на высшем уровне власти. Достаточно не только доказать прямое получение денег; принципиальное значение имеет участие должностного лица в принятии решения, от которого оно прямо или косвенно получает выгоду.</w:t>
      </w:r>
    </w:p>
    <w:p w14:paraId="76A55430"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Третий вывод: государственные гарантии являются зоной высокого коррупционного риска. Они могут выглядеть как нейтральный финансовый инструмент, но фактически создают значительное имущественное преимущество для конкретной компании и перекладывают риск на государство.</w:t>
      </w:r>
    </w:p>
    <w:p w14:paraId="3F9BB2B8"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Четвертый вывод: дела о коррупции высших должностных лиц требуют сочетания уголовного преследования и механизмов возврата активов. Без конфискации и международного взыскания незаконно выведенных средств наказание остается неполным, поскольку не устраняет экономический результат преступления.</w:t>
      </w:r>
    </w:p>
    <w:p w14:paraId="53240B4B" w14:textId="77777777" w:rsidR="007D39C4" w:rsidRPr="00EE50E8" w:rsidRDefault="007D39C4" w:rsidP="007D39C4">
      <w:pPr>
        <w:jc w:val="both"/>
        <w:rPr>
          <w:rFonts w:ascii="Times New Roman" w:hAnsi="Times New Roman" w:cs="Times New Roman"/>
          <w:kern w:val="0"/>
          <w:lang w:eastAsia="ru-RU"/>
        </w:rPr>
      </w:pPr>
      <w:r w:rsidRPr="00EE50E8">
        <w:rPr>
          <w:rFonts w:ascii="Times New Roman" w:hAnsi="Times New Roman" w:cs="Times New Roman"/>
          <w:kern w:val="0"/>
          <w:lang w:eastAsia="ru-RU"/>
        </w:rPr>
        <w:t>Пятый вывод: прозрачность процедур помилования имеет прямое значение для доверия к антикоррупционному правосудию. Если после окончательного судебного решения наказание существенно сокращается без достаточного публичного объяснения, это может восприниматься как восстановление привилегированного положения политической элиты.</w:t>
      </w:r>
    </w:p>
    <w:p w14:paraId="28D21CE8" w14:textId="77777777" w:rsidR="007D39C4" w:rsidRPr="00EE50E8" w:rsidRDefault="007D39C4" w:rsidP="007D39C4">
      <w:pPr>
        <w:jc w:val="both"/>
        <w:rPr>
          <w:rFonts w:ascii="Times New Roman" w:hAnsi="Times New Roman" w:cs="Times New Roman"/>
          <w:b/>
          <w:bCs/>
          <w:i/>
          <w:iCs/>
          <w:kern w:val="0"/>
          <w:lang w:eastAsia="ru-RU"/>
        </w:rPr>
      </w:pPr>
      <w:r w:rsidRPr="00EE50E8">
        <w:rPr>
          <w:rFonts w:ascii="Times New Roman" w:hAnsi="Times New Roman" w:cs="Times New Roman"/>
          <w:b/>
          <w:bCs/>
          <w:i/>
          <w:iCs/>
          <w:kern w:val="0"/>
          <w:lang w:val="en-US" w:eastAsia="ru-RU"/>
        </w:rPr>
        <w:t>8</w:t>
      </w:r>
      <w:r w:rsidRPr="00EE50E8">
        <w:rPr>
          <w:rFonts w:ascii="Times New Roman" w:hAnsi="Times New Roman" w:cs="Times New Roman"/>
          <w:b/>
          <w:bCs/>
          <w:i/>
          <w:iCs/>
          <w:kern w:val="0"/>
          <w:lang w:eastAsia="ru-RU"/>
        </w:rPr>
        <w:t>. Источники</w:t>
      </w:r>
    </w:p>
    <w:p w14:paraId="1FABAFE6"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Malaysian Anti-Corruption Commission Act 2009 : Act 694 : as at 1 January 2009 // Laws of Malaysia. — Kuala Lumpur : Percetakan Nasional Malaysia Berhad, 2009.</w:t>
      </w:r>
    </w:p>
    <w:p w14:paraId="1887C633"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Penal Code of Malaysia : Act 574 : as at 1 January 2015 // Laws of Malaysia. — Kuala Lumpur : Percetakan Nasional Malaysia Berhad, 2015.</w:t>
      </w:r>
    </w:p>
    <w:p w14:paraId="2BCB5C7C"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Anti-Money Laundering, Anti-Terrorism Financing and Proceeds of Unlawful Activities Act 2001 : Act 613 : as at 1 January 2015 // Laws of Malaysia. — Kuala Lumpur : Percetakan Nasional Malaysia Berhad, 2015.</w:t>
      </w:r>
    </w:p>
    <w:p w14:paraId="33A7BF3D"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Public Prosecutor v. Dato’ Sri Mohd Najib bin Hj Abd Razak : Judgment of the High Court of Malaya at Kuala Lumpur, 28 July 2020 // eLaw.my. — URL: </w:t>
      </w:r>
      <w:hyperlink r:id="rId5" w:tgtFrame="_new" w:history="1">
        <w:r w:rsidRPr="001750A4">
          <w:rPr>
            <w:rFonts w:ascii="Times New Roman" w:eastAsia="Times New Roman" w:hAnsi="Times New Roman" w:cs="Times New Roman"/>
            <w:color w:val="0000FF"/>
            <w:kern w:val="0"/>
            <w:u w:val="single"/>
            <w:lang w:val="en-US" w:eastAsia="ru-RU"/>
            <w14:ligatures w14:val="none"/>
          </w:rPr>
          <w:t>https://www.elaw.my/JE/01/JE_2020_35.html</w:t>
        </w:r>
      </w:hyperlink>
      <w:r w:rsidRPr="001750A4">
        <w:rPr>
          <w:rFonts w:ascii="Times New Roman" w:eastAsia="Times New Roman" w:hAnsi="Times New Roman" w:cs="Times New Roman"/>
          <w:color w:val="000000"/>
          <w:kern w:val="0"/>
          <w:lang w:val="en-US" w:eastAsia="ru-RU"/>
          <w14:ligatures w14:val="none"/>
        </w:rPr>
        <w:t> </w:t>
      </w:r>
    </w:p>
    <w:p w14:paraId="456057DC"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Dato’ Sri Mohd Najib bin Hj Abd Razak v. Public Prosecutor : Criminal Appeal Nos. 05(L)-289-291-12/2021(W) : Grounds of Judgment of the Federal Court of Malaysia, 23 August 2022 // The Malaysian Judiciary. — URL: </w:t>
      </w:r>
      <w:hyperlink r:id="rId6" w:tgtFrame="_new" w:history="1">
        <w:r w:rsidRPr="001750A4">
          <w:rPr>
            <w:rFonts w:ascii="Times New Roman" w:eastAsia="Times New Roman" w:hAnsi="Times New Roman" w:cs="Times New Roman"/>
            <w:color w:val="0000FF"/>
            <w:kern w:val="0"/>
            <w:u w:val="single"/>
            <w:lang w:val="en-US" w:eastAsia="ru-RU"/>
            <w14:ligatures w14:val="none"/>
          </w:rPr>
          <w:t>https://www.kehakiman.gov.my/sites/default/files/documents/Ringkasan_Media/2022/Grounds%20of%20Judgment%20-%20Dato%27%20Sri%20Najib%20v%20PP%20%28Appeals%29%20%2823.8.2022%29.pdf</w:t>
        </w:r>
      </w:hyperlink>
      <w:r w:rsidRPr="001750A4">
        <w:rPr>
          <w:rFonts w:ascii="Times New Roman" w:eastAsia="Times New Roman" w:hAnsi="Times New Roman" w:cs="Times New Roman"/>
          <w:color w:val="000000"/>
          <w:kern w:val="0"/>
          <w:lang w:val="en-US" w:eastAsia="ru-RU"/>
          <w14:ligatures w14:val="none"/>
        </w:rPr>
        <w:t> </w:t>
      </w:r>
    </w:p>
    <w:p w14:paraId="1C175E74"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lastRenderedPageBreak/>
        <w:t>Justice Department Repatriates $1.4B in Misappropriated 1MDB Funds to Malaysia // U.S. Department of Justice. — URL: </w:t>
      </w:r>
      <w:hyperlink r:id="rId7" w:tgtFrame="_new" w:history="1">
        <w:r w:rsidRPr="001750A4">
          <w:rPr>
            <w:rFonts w:ascii="Times New Roman" w:eastAsia="Times New Roman" w:hAnsi="Times New Roman" w:cs="Times New Roman"/>
            <w:color w:val="0000FF"/>
            <w:kern w:val="0"/>
            <w:u w:val="single"/>
            <w:lang w:val="en-US" w:eastAsia="ru-RU"/>
            <w14:ligatures w14:val="none"/>
          </w:rPr>
          <w:t>https://www.justice.gov/archives/opa/pr/justice-department-repatriates-14b-misappropriated-1mdb-funds-malaysia</w:t>
        </w:r>
      </w:hyperlink>
      <w:r w:rsidRPr="001750A4">
        <w:rPr>
          <w:rFonts w:ascii="Times New Roman" w:eastAsia="Times New Roman" w:hAnsi="Times New Roman" w:cs="Times New Roman"/>
          <w:color w:val="000000"/>
          <w:kern w:val="0"/>
          <w:lang w:val="en-US" w:eastAsia="ru-RU"/>
          <w14:ligatures w14:val="none"/>
        </w:rPr>
        <w:t> </w:t>
      </w:r>
    </w:p>
    <w:p w14:paraId="478F3F36" w14:textId="77777777" w:rsidR="007D39C4" w:rsidRPr="001750A4" w:rsidRDefault="007D39C4" w:rsidP="007D39C4">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Justice Department Recovers Additional $20M in Misappropriated 1MDB Funds // U.S. Department of Justice. — URL: </w:t>
      </w:r>
      <w:hyperlink r:id="rId8" w:tgtFrame="_new" w:history="1">
        <w:r w:rsidRPr="001750A4">
          <w:rPr>
            <w:rFonts w:ascii="Times New Roman" w:eastAsia="Times New Roman" w:hAnsi="Times New Roman" w:cs="Times New Roman"/>
            <w:color w:val="0000FF"/>
            <w:kern w:val="0"/>
            <w:u w:val="single"/>
            <w:lang w:val="en-US" w:eastAsia="ru-RU"/>
            <w14:ligatures w14:val="none"/>
          </w:rPr>
          <w:t>https://www.justice.gov/archives/opa/pr/justice-department-recovers-additional-20m-misappropriated-1mdb-funds</w:t>
        </w:r>
      </w:hyperlink>
      <w:r w:rsidRPr="001750A4">
        <w:rPr>
          <w:rFonts w:ascii="Times New Roman" w:eastAsia="Times New Roman" w:hAnsi="Times New Roman" w:cs="Times New Roman"/>
          <w:color w:val="000000"/>
          <w:kern w:val="0"/>
          <w:lang w:val="en-US" w:eastAsia="ru-RU"/>
          <w14:ligatures w14:val="none"/>
        </w:rPr>
        <w:t> </w:t>
      </w:r>
    </w:p>
    <w:p w14:paraId="477D31B0" w14:textId="77777777" w:rsidR="007C1520" w:rsidRPr="007D39C4" w:rsidRDefault="007C1520">
      <w:pPr>
        <w:rPr>
          <w:lang w:val="en-US"/>
        </w:rPr>
      </w:pPr>
    </w:p>
    <w:sectPr w:rsidR="007C1520" w:rsidRPr="007D39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369F6"/>
    <w:multiLevelType w:val="multilevel"/>
    <w:tmpl w:val="A6F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EE2823"/>
    <w:multiLevelType w:val="hybridMultilevel"/>
    <w:tmpl w:val="EA4A9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9C4"/>
    <w:rsid w:val="00657B44"/>
    <w:rsid w:val="007C1520"/>
    <w:rsid w:val="007D39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BB34"/>
  <w15:chartTrackingRefBased/>
  <w15:docId w15:val="{6B381A7A-B060-4B40-85D7-C86875E7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9C4"/>
    <w:pPr>
      <w:spacing w:line="278"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3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ice.gov/archives/opa/pr/justice-department-recovers-additional-20m-misappropriated-1mdb-funds?utm_source=chatgpt.com" TargetMode="External"/><Relationship Id="rId3" Type="http://schemas.openxmlformats.org/officeDocument/2006/relationships/settings" Target="settings.xml"/><Relationship Id="rId7" Type="http://schemas.openxmlformats.org/officeDocument/2006/relationships/hyperlink" Target="https://www.justice.gov/archives/opa/pr/justice-department-repatriates-14b-misappropriated-1mdb-funds-malaysia?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hakiman.gov.my/sites/default/files/documents/Ringkasan_Media/2022/Grounds%20of%20Judgment%20-%20Dato%27%20Sri%20Najib%20v%20PP%20%28Appeals%29%20%2823.8.2022%29.pdf?utm_source=chatgpt.com" TargetMode="External"/><Relationship Id="rId5" Type="http://schemas.openxmlformats.org/officeDocument/2006/relationships/hyperlink" Target="https://www.elaw.my/JE/01/JE_2020_35.html?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2292</Words>
  <Characters>13068</Characters>
  <Application>Microsoft Office Word</Application>
  <DocSecurity>0</DocSecurity>
  <Lines>108</Lines>
  <Paragraphs>30</Paragraphs>
  <ScaleCrop>false</ScaleCrop>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Молодиченко</dc:creator>
  <cp:keywords/>
  <dc:description/>
  <cp:lastModifiedBy>Никита Молодиченко</cp:lastModifiedBy>
  <cp:revision>1</cp:revision>
  <dcterms:created xsi:type="dcterms:W3CDTF">2026-05-02T16:04:00Z</dcterms:created>
  <dcterms:modified xsi:type="dcterms:W3CDTF">2026-05-02T16:04:00Z</dcterms:modified>
</cp:coreProperties>
</file>