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B948F" w14:textId="77777777" w:rsidR="0051640C" w:rsidRPr="00EE50E8" w:rsidRDefault="0051640C" w:rsidP="0051640C">
      <w:pPr>
        <w:jc w:val="center"/>
        <w:rPr>
          <w:rFonts w:ascii="Times New Roman" w:hAnsi="Times New Roman" w:cs="Times New Roman"/>
          <w:b/>
          <w:bCs/>
          <w:u w:val="single"/>
          <w:lang w:eastAsia="ru-RU"/>
        </w:rPr>
      </w:pPr>
      <w:r w:rsidRPr="00EE50E8">
        <w:rPr>
          <w:rFonts w:ascii="Times New Roman" w:hAnsi="Times New Roman" w:cs="Times New Roman"/>
          <w:b/>
          <w:bCs/>
          <w:u w:val="single"/>
          <w:lang w:eastAsia="ru-RU"/>
        </w:rPr>
        <w:t xml:space="preserve">Кейс №7: Елены </w:t>
      </w:r>
      <w:proofErr w:type="spellStart"/>
      <w:r w:rsidRPr="00EE50E8">
        <w:rPr>
          <w:rFonts w:ascii="Times New Roman" w:hAnsi="Times New Roman" w:cs="Times New Roman"/>
          <w:b/>
          <w:bCs/>
          <w:u w:val="single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b/>
          <w:bCs/>
          <w:u w:val="single"/>
          <w:lang w:eastAsia="ru-RU"/>
        </w:rPr>
        <w:t>, Румыния</w:t>
      </w:r>
    </w:p>
    <w:p w14:paraId="5C0F0FC2" w14:textId="77777777" w:rsidR="0051640C" w:rsidRPr="00EE50E8" w:rsidRDefault="0051640C" w:rsidP="0051640C">
      <w:pPr>
        <w:jc w:val="both"/>
        <w:rPr>
          <w:rFonts w:ascii="Times New Roman" w:hAnsi="Times New Roman" w:cs="Times New Roman"/>
          <w:b/>
          <w:bCs/>
          <w:i/>
          <w:iCs/>
          <w:kern w:val="0"/>
          <w:lang w:eastAsia="ru-RU"/>
        </w:rPr>
      </w:pPr>
      <w:r w:rsidRPr="00EE50E8">
        <w:rPr>
          <w:rFonts w:ascii="Times New Roman" w:hAnsi="Times New Roman" w:cs="Times New Roman"/>
          <w:b/>
          <w:bCs/>
          <w:i/>
          <w:iCs/>
          <w:kern w:val="0"/>
          <w:lang w:eastAsia="ru-RU"/>
        </w:rPr>
        <w:t>1. Базовые данные</w:t>
      </w:r>
    </w:p>
    <w:p w14:paraId="48DC6F33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i/>
          <w:iCs/>
          <w:kern w:val="0"/>
          <w:lang w:eastAsia="ru-RU"/>
        </w:rPr>
        <w:t>Страна / юрисдикция:</w:t>
      </w:r>
      <w:r w:rsidRPr="00EE50E8">
        <w:rPr>
          <w:rFonts w:ascii="Times New Roman" w:hAnsi="Times New Roman" w:cs="Times New Roman"/>
          <w:kern w:val="0"/>
          <w:lang w:eastAsia="ru-RU"/>
        </w:rPr>
        <w:t> Румыния.</w:t>
      </w:r>
    </w:p>
    <w:p w14:paraId="4BA2DCAE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i/>
          <w:iCs/>
          <w:kern w:val="0"/>
          <w:lang w:eastAsia="ru-RU"/>
        </w:rPr>
        <w:t>Годы развития дела:</w:t>
      </w:r>
      <w:r w:rsidRPr="00EE50E8">
        <w:rPr>
          <w:rFonts w:ascii="Times New Roman" w:hAnsi="Times New Roman" w:cs="Times New Roman"/>
          <w:kern w:val="0"/>
          <w:lang w:eastAsia="ru-RU"/>
        </w:rPr>
        <w:t> 2010–2012 гг.; судебные этапы— 2015–2022 гг.</w:t>
      </w:r>
    </w:p>
    <w:p w14:paraId="41F8E14B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i/>
          <w:iCs/>
          <w:kern w:val="0"/>
          <w:lang w:eastAsia="ru-RU"/>
        </w:rPr>
        <w:t xml:space="preserve">Уровень власти: </w:t>
      </w:r>
      <w:r w:rsidRPr="00EE50E8">
        <w:rPr>
          <w:rFonts w:ascii="Times New Roman" w:hAnsi="Times New Roman" w:cs="Times New Roman"/>
          <w:kern w:val="0"/>
          <w:lang w:eastAsia="ru-RU"/>
        </w:rPr>
        <w:t>правительственный.</w:t>
      </w:r>
    </w:p>
    <w:p w14:paraId="03E7CB2C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i/>
          <w:iCs/>
          <w:kern w:val="0"/>
          <w:lang w:eastAsia="ru-RU"/>
        </w:rPr>
        <w:t>Отрасль риска:</w:t>
      </w:r>
      <w:r w:rsidRPr="00EE50E8">
        <w:rPr>
          <w:rFonts w:ascii="Times New Roman" w:hAnsi="Times New Roman" w:cs="Times New Roman"/>
          <w:kern w:val="0"/>
          <w:lang w:eastAsia="ru-RU"/>
        </w:rPr>
        <w:t> управление государственными средствами, государственные закупки, финансирование инфраструктурных и имиджевых проектов, распределение бюджетных платежей подрядчикам, использование средств программ продвижения туризма.</w:t>
      </w:r>
    </w:p>
    <w:p w14:paraId="6E6A110D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i/>
          <w:iCs/>
          <w:kern w:val="0"/>
          <w:lang w:eastAsia="ru-RU"/>
        </w:rPr>
        <w:t>Тип коррупционного поведения:</w:t>
      </w:r>
      <w:r w:rsidRPr="00EE50E8">
        <w:rPr>
          <w:rFonts w:ascii="Times New Roman" w:hAnsi="Times New Roman" w:cs="Times New Roman"/>
          <w:kern w:val="0"/>
          <w:lang w:eastAsia="ru-RU"/>
        </w:rPr>
        <w:t> получение неправомерных имущественных выгод через посредников, злоупотребление должностными полномочиями при распоряжении публичными средствами, создание искусственной правовой оболочки для финансирования частного коммерческого мероприятия за счет бюджета, а также использование политико-административного влияния для обеспечения выгод связанным лицам.</w:t>
      </w:r>
    </w:p>
    <w:p w14:paraId="761D1728" w14:textId="77777777" w:rsidR="0051640C" w:rsidRPr="00EE50E8" w:rsidRDefault="0051640C" w:rsidP="0051640C">
      <w:pPr>
        <w:jc w:val="both"/>
        <w:rPr>
          <w:rFonts w:ascii="Times New Roman" w:hAnsi="Times New Roman" w:cs="Times New Roman"/>
          <w:b/>
          <w:bCs/>
          <w:i/>
          <w:iCs/>
          <w:kern w:val="0"/>
          <w:lang w:eastAsia="ru-RU"/>
        </w:rPr>
      </w:pPr>
      <w:r w:rsidRPr="00EE50E8">
        <w:rPr>
          <w:rFonts w:ascii="Times New Roman" w:hAnsi="Times New Roman" w:cs="Times New Roman"/>
          <w:b/>
          <w:bCs/>
          <w:i/>
          <w:iCs/>
          <w:kern w:val="0"/>
          <w:lang w:eastAsia="ru-RU"/>
        </w:rPr>
        <w:t>2. Фабула дела</w:t>
      </w:r>
    </w:p>
    <w:p w14:paraId="550E480D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Дело Елены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, известное в Румынии как «Gala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Bute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», возникло вокруг организации в 2011 году международного боксерского мероприятия с участием румынского спортсмена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Лучиана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Буте. Внешне проект подавался как мероприятие, способствующее продвижению туристического бренда Румынии, однако в уголовно-правовой реконструкции обвинения он рассматривался как механизм неправомерного перенаправления публичных средств в пользу частного организатора и связанных с ним лиц.</w:t>
      </w:r>
    </w:p>
    <w:p w14:paraId="1FEEF191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По версии Национального антикоррупционного управления Румынии — 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Direcția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Națională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Anticorupție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, DNA —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, занимая пост министра регионального развития и туризма, координировала систему, при которой приближенные к ней лица получали денежные средства от представителей коммерческих организаций за обеспечение своевременной оплаты работ, финансируемых министерством. DNA указывало, что полученные суммы поступали либо непосредственно в имущественную сферу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, либо в пользу лиц и структур, указанных ею, включая партийную организацию и организатора боксерской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галы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Рудела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Обрежу. </w:t>
      </w:r>
    </w:p>
    <w:p w14:paraId="2CB60F29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Центральный эпизод касался договора от 24 июня 2011 года между Министерством регионального развития и туризма и компанией S.C.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Europlus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Computers S.R.L., контролируемой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Руделом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Обрежей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. Формально договор был заключен на оказание услуг по продвижению Румынии в связи с проведением боксерской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галы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>; фактически, по версии обвинения, он использовался как юридическая конструкция для финансирования коммерческого спортивного мероприятия за счет средств министерства. В рамках этого договора министерство перечислило 8 116 800 леев, при этом DNA утверждало, что закупка была проведена с нарушением процедур, а соответствующие расходы не отвечали критериям допустимости для программ с европейским финансированием. </w:t>
      </w:r>
    </w:p>
    <w:p w14:paraId="5F70564F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С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коррупционно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-аналитической точки зрения кейс важен тем, что речь шла не о простой передаче взятки за отдельное административное действие, а о более сложной модели элитной коррупции. В ней соединялись: контроль министра над бюджетными потоками, </w:t>
      </w:r>
      <w:r w:rsidRPr="00EE50E8">
        <w:rPr>
          <w:rFonts w:ascii="Times New Roman" w:hAnsi="Times New Roman" w:cs="Times New Roman"/>
          <w:kern w:val="0"/>
          <w:lang w:eastAsia="ru-RU"/>
        </w:rPr>
        <w:lastRenderedPageBreak/>
        <w:t>возможность ускорять или обеспечивать платежи подрядчикам, использование доверенных посредников, фиктивные консультационные и рекламные договоры, а также политико-имиджевое прикрытие в виде публичного спортивного события.</w:t>
      </w:r>
    </w:p>
    <w:p w14:paraId="73ABFA4D" w14:textId="77777777" w:rsidR="0051640C" w:rsidRPr="00EE50E8" w:rsidRDefault="0051640C" w:rsidP="0051640C">
      <w:pPr>
        <w:jc w:val="both"/>
        <w:rPr>
          <w:rFonts w:ascii="Times New Roman" w:hAnsi="Times New Roman" w:cs="Times New Roman"/>
          <w:b/>
          <w:bCs/>
          <w:i/>
          <w:iCs/>
          <w:kern w:val="0"/>
          <w:lang w:eastAsia="ru-RU"/>
        </w:rPr>
      </w:pPr>
      <w:r w:rsidRPr="00EE50E8">
        <w:rPr>
          <w:rFonts w:ascii="Times New Roman" w:hAnsi="Times New Roman" w:cs="Times New Roman"/>
          <w:b/>
          <w:bCs/>
          <w:i/>
          <w:iCs/>
          <w:kern w:val="0"/>
          <w:lang w:eastAsia="ru-RU"/>
        </w:rPr>
        <w:t>3. Правовая квалификация</w:t>
      </w:r>
    </w:p>
    <w:p w14:paraId="27AE4181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В обвинительном акте DNA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инкриминировались, в частности, три эпизода получения взятки, злоупотребление служебным положением, а также покушение на использование ложных, неточных или неполных документов для неправомерного получения европейских средств. Эти квалификации были прямо указаны в сообщении DNA о направлении дела в суд 21 апреля 2015 года. </w:t>
      </w:r>
    </w:p>
    <w:p w14:paraId="6313AA22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Нормативной основой дела выступали положения Уголовного кодекса Румынии и специального антикоррупционного закона — Закона № 78/2000 о предотвращении, выявлении и наказании коррупционных преступлений. Закон № 78/2000 распространяется на лиц, осуществляющих публичные функции, а также на лиц, которые участвуют в принятии решений или способны влиять на решения в публичных органах и организациях с государственным участием. Этот же закон прямо относит преступления, предусмотренные статьями 289–292 Уголовного кодекса Румынии, к коррупционным преступлениям. </w:t>
      </w:r>
    </w:p>
    <w:p w14:paraId="0472C401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Ключевой для дела была конструкция получения взятки по статье 289 Уголовного кодекса Румынии: она охватывает ситуацию, когда публичный служащий прямо или косвенно требует либо получает деньги или иные неправомерные выгоды за совершение, несовершение, ускорение или задержку действия, входящего в круг его служебных обязанностей. </w:t>
      </w:r>
    </w:p>
    <w:p w14:paraId="41D6122F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Второй значимый блок — злоупотребление служебным положением. В румынском праве эта конструкция связывается с неисполнением или ненадлежащим исполнением служебных обязанностей публичным служащим, если это причиняет ущерб либо нарушает права и законные интересы лица или организации. В антикоррупционном контексте применялось также положение статьи 13² Закона № 78/2000, предусматривающее усиление ответственности за злоупотребление служебным положением, если публичный служащий получил для себя или другого лица деньги, имущество либо иную неправомерную выгоду. </w:t>
      </w:r>
    </w:p>
    <w:p w14:paraId="4C847B47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Кроме того, в деле фигурировала проблематика средств Европейского союза. Закон № 78/2000 содержит специальные нормы о защите финансовых интересов ЕС, включая ответственность за использование или представление ложных, неточных либо неполных документов, если это приводит к неправомерному получению средств из бюджета ЕС или бюджетов, управляемых от имени ЕС. Однако по итогам первой судебной оценки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была оправдана по эпизоду мошенничества с европейскими средствами, тогда как обвинительный приговор был связан прежде всего со взяточничеством и злоупотреблением должностными полномочиями. </w:t>
      </w:r>
    </w:p>
    <w:p w14:paraId="117A2358" w14:textId="77777777" w:rsidR="0051640C" w:rsidRPr="00EE50E8" w:rsidRDefault="0051640C" w:rsidP="0051640C">
      <w:pPr>
        <w:jc w:val="both"/>
        <w:rPr>
          <w:rFonts w:ascii="Times New Roman" w:hAnsi="Times New Roman" w:cs="Times New Roman"/>
          <w:b/>
          <w:bCs/>
          <w:i/>
          <w:iCs/>
          <w:kern w:val="0"/>
          <w:lang w:eastAsia="ru-RU"/>
        </w:rPr>
      </w:pPr>
      <w:r w:rsidRPr="00EE50E8">
        <w:rPr>
          <w:rFonts w:ascii="Times New Roman" w:hAnsi="Times New Roman" w:cs="Times New Roman"/>
          <w:b/>
          <w:bCs/>
          <w:i/>
          <w:iCs/>
          <w:kern w:val="0"/>
          <w:lang w:eastAsia="ru-RU"/>
        </w:rPr>
        <w:t>4. Ход дела</w:t>
      </w:r>
    </w:p>
    <w:p w14:paraId="15AAA490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21 апреля 2015 года DNA направило дело в Высокий кассационный и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юстиционный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суд Румынии. В сообщении прокуратуры подчеркивалось, что расследование касалось </w:t>
      </w:r>
      <w:r w:rsidRPr="00EE50E8">
        <w:rPr>
          <w:rFonts w:ascii="Times New Roman" w:hAnsi="Times New Roman" w:cs="Times New Roman"/>
          <w:kern w:val="0"/>
          <w:lang w:eastAsia="ru-RU"/>
        </w:rPr>
        <w:lastRenderedPageBreak/>
        <w:t>управления публичными средствами Министерством регионального развития и туризма и Министерством экономики, торговли и деловой среды в период 2010–2012 годов. </w:t>
      </w:r>
    </w:p>
    <w:p w14:paraId="4E77E7A0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В центре процесса находились несколько групп вопросов.</w:t>
      </w:r>
    </w:p>
    <w:p w14:paraId="68FDD19E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Во-первых, суд исследовал, существовала ли система получения денежных средств от подрядчиков, заинтересованных в своевременной оплате работ, финансируемых министерством. По версии обвинения, часть таких платежей оформлялась через фиктивные договоры консалтинга или рекламы, а затем передавалась через посредников.</w:t>
      </w:r>
    </w:p>
    <w:p w14:paraId="6C5F9B33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Во-вторых, оценивался правовой характер финансирования боксерской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галы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>. Формально министерство закупало услуги продвижения туристического бренда, однако обвинение утверждало, что реальной публичной потребности в такой закупке не было, а договор лишь создавал видимость законности перечисления бюджетных средств частному организатору мероприятия. DNA отдельно указывало, что договор был заключен путем переговоров без публикации объявления о закупке, а сами услуги не соответствовали допустимым категориям расходов по соответствующим европейским программам. </w:t>
      </w:r>
    </w:p>
    <w:p w14:paraId="2AD1D696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В-третьих, анализировалась роль самой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: принимала ли она ключевые решения, давала ли указания подчиненным, осознавала ли правовые препятствия и использовала ли министерские полномочия для создания неправомерной выгоды третьим лицам. По версии следствия, именно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имела наиболее существенный вклад в организацию схемы: она участвовала в формировании правовой и административной рамки финансирования, направляла подчиненных на поиск решения для заключения договора и принимала участие в определении бюджета мероприятия. </w:t>
      </w:r>
    </w:p>
    <w:p w14:paraId="4F21F110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В марте 2017 года суд первой инстанции назначил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> 6 лет лишения свободы за взяточничество и злоупотребление служебным положением; одновременно она была обязана возместить ущерб в размере свыше 8 млн леев. При этом по эпизоду, связанному с европейскими средствами, она была оправдана. </w:t>
      </w:r>
    </w:p>
    <w:p w14:paraId="6429D1F8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В июне 2018 года Высокий кассационный и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юстиционный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суд подтвердил шестилетний срок лишения свободы. Однако дальнейшая процессуальная история дела была осложнена решениями Конституционного суда Румынии о незаконности формирования отдельных судебных коллегий Высокого суда. В 2018 году это привело к временной приостановке исполнения приговора и освобождению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из-под стражи в Коста-Рике, где она находилась после выезда из Румынии. В 2022 году пятерка судей Высокого кассационного и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юстиционного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суда отклонила жалобы об аннулировании, и шестилетний приговор вновь стал окончательным и подлежащим исполнению. </w:t>
      </w:r>
    </w:p>
    <w:p w14:paraId="33690B29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После решения 7 апреля 2022 года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покинула Румынию через пограничный пункт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Джурджу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>, однако вскоре была задержана на территории Болгарии на основании выданного ордера на исполнение наказания. В июле 2025 года она была условно-досрочно освобождена из тюрьмы после решения суда, отклонившего протест DNA на освобождение. </w:t>
      </w:r>
    </w:p>
    <w:p w14:paraId="5FDDE53B" w14:textId="77777777" w:rsidR="0051640C" w:rsidRPr="00EE50E8" w:rsidRDefault="0051640C" w:rsidP="0051640C">
      <w:pPr>
        <w:jc w:val="both"/>
        <w:rPr>
          <w:rFonts w:ascii="Times New Roman" w:hAnsi="Times New Roman" w:cs="Times New Roman"/>
          <w:b/>
          <w:bCs/>
          <w:i/>
          <w:iCs/>
          <w:kern w:val="0"/>
          <w:lang w:eastAsia="ru-RU"/>
        </w:rPr>
      </w:pPr>
      <w:r w:rsidRPr="00EE50E8">
        <w:rPr>
          <w:rFonts w:ascii="Times New Roman" w:hAnsi="Times New Roman" w:cs="Times New Roman"/>
          <w:b/>
          <w:bCs/>
          <w:i/>
          <w:iCs/>
          <w:kern w:val="0"/>
          <w:lang w:eastAsia="ru-RU"/>
        </w:rPr>
        <w:t>5. Последствия</w:t>
      </w:r>
    </w:p>
    <w:p w14:paraId="5EAFF142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Назначенное наказание имело не только индивидуально-карательное, но и институционально-символическое значение.</w:t>
      </w:r>
    </w:p>
    <w:p w14:paraId="1EC74F3D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lastRenderedPageBreak/>
        <w:t xml:space="preserve">Во-первых, дело продемонстрировало применимость антикоррупционного уголовного права к бывшему члену правительства и высокопоставленному политическому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актору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>. В этом смысле оно стало частью более широкой румынской практики, в которой Национальное антикоррупционное управление выступало как специализированный институт уголовного преследования элитной коррупции.</w:t>
      </w:r>
    </w:p>
    <w:p w14:paraId="5F379DF7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Во-вторых, приговор подчеркнул, что коррупционный риск в сфере публичных расходов не сводится к прямому присвоению бюджетных средств. В деле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ключевым был механизм легализации неправомерного бюджетного платежа через формально гражданско-правовой договор: государство якобы приобретало рекламные и имиджевые услуги, тогда как фактической целью, по версии обвинения, было финансирование частного спортивного мероприятия.</w:t>
      </w:r>
    </w:p>
    <w:p w14:paraId="73B3FF85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В-третьих, дело показало связь между коррупцией и политическим финансированием. По данным обвинения, часть средств, полученных через посредников, использовалась для оплаты услуг и расходов, выгодных самой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либо партийной структуре, с которой она была связана. Это обстоятельство делает кейс значимым не только для уголовного права, но и для анализа партийной коррупции, скрытого финансирования политической деятельности и зависимости публичных решений от неформальных политико-экономических сетей.</w:t>
      </w:r>
    </w:p>
    <w:p w14:paraId="5B5E75A5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В-четвертых, затяжная процессуальная история дела — включая споры о составе судебных коллегий, временную приостановку приговора, выезд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за пределы страны и последующее возобновление исполнения наказания — показала, что даже при наличии обвинительного приговора дела о высокоуровневой коррупции могут оставаться институционально уязвимыми из-за процедурных дефектов и конституционно-правовых споров.</w:t>
      </w:r>
    </w:p>
    <w:p w14:paraId="51D41D2C" w14:textId="77777777" w:rsidR="0051640C" w:rsidRPr="00EE50E8" w:rsidRDefault="0051640C" w:rsidP="0051640C">
      <w:pPr>
        <w:jc w:val="both"/>
        <w:rPr>
          <w:rFonts w:ascii="Times New Roman" w:hAnsi="Times New Roman" w:cs="Times New Roman"/>
          <w:b/>
          <w:bCs/>
          <w:i/>
          <w:iCs/>
          <w:kern w:val="0"/>
          <w:lang w:eastAsia="ru-RU"/>
        </w:rPr>
      </w:pPr>
      <w:r w:rsidRPr="00EE50E8">
        <w:rPr>
          <w:rFonts w:ascii="Times New Roman" w:hAnsi="Times New Roman" w:cs="Times New Roman"/>
          <w:b/>
          <w:bCs/>
          <w:i/>
          <w:iCs/>
          <w:kern w:val="0"/>
          <w:lang w:eastAsia="ru-RU"/>
        </w:rPr>
        <w:t>6. Институциональные эффекты</w:t>
      </w:r>
    </w:p>
    <w:p w14:paraId="516FFFD8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Институциональный эффект дела проявился в нескольких направлениях.</w:t>
      </w:r>
    </w:p>
    <w:p w14:paraId="50B6D9A9" w14:textId="77777777" w:rsidR="0051640C" w:rsidRPr="00EE50E8" w:rsidRDefault="0051640C" w:rsidP="0051640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Усиление внимания к коррупционным рискам в государственных закупках.</w:t>
      </w:r>
      <w:r w:rsidRPr="00EE50E8">
        <w:rPr>
          <w:rFonts w:ascii="Times New Roman" w:hAnsi="Times New Roman" w:cs="Times New Roman"/>
          <w:kern w:val="0"/>
          <w:lang w:eastAsia="ru-RU"/>
        </w:rPr>
        <w:br/>
        <w:t xml:space="preserve">Кейс показал, что процедура закупки может использоваться не только для завышения цены или предпочтения «своего» подрядчика, но и для имитации публичной потребности. В деле «Gala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Bute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>» договор о продвижении туристического бренда, по версии обвинения, служил формальным прикрытием финансирования мероприятия, экономически выгодного частному организатору. </w:t>
      </w:r>
    </w:p>
    <w:p w14:paraId="11C8FA38" w14:textId="77777777" w:rsidR="0051640C" w:rsidRPr="00EE50E8" w:rsidRDefault="0051640C" w:rsidP="0051640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Выявление риска административного контроля над бюджетными платежами.</w:t>
      </w:r>
      <w:r w:rsidRPr="00EE50E8">
        <w:rPr>
          <w:rFonts w:ascii="Times New Roman" w:hAnsi="Times New Roman" w:cs="Times New Roman"/>
          <w:kern w:val="0"/>
          <w:lang w:eastAsia="ru-RU"/>
        </w:rPr>
        <w:br/>
        <w:t>Существенной частью дела были утверждения о том, что подрядчики передавали процент от сумм, выплачиваемых министерством, в обмен на своевременное финансирование. Такая модель демонстрирует особую форму коррупционного давления: чиновник не обязательно создает новый незаконный контракт, но превращает саму возможность своевременной оплаты законно выполненных работ в источник ренты.</w:t>
      </w:r>
    </w:p>
    <w:p w14:paraId="6633F74E" w14:textId="77777777" w:rsidR="0051640C" w:rsidRPr="00EE50E8" w:rsidRDefault="0051640C" w:rsidP="0051640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Проблема посредников и доверенных лиц.</w:t>
      </w:r>
      <w:r w:rsidRPr="00EE50E8">
        <w:rPr>
          <w:rFonts w:ascii="Times New Roman" w:hAnsi="Times New Roman" w:cs="Times New Roman"/>
          <w:kern w:val="0"/>
          <w:lang w:eastAsia="ru-RU"/>
        </w:rPr>
        <w:br/>
        <w:t xml:space="preserve">Кейс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иллюстрирует типичный для элитной коррупции разрыв между формальным должностным лицом и фактическим движением денег. По версии DNA, </w:t>
      </w:r>
      <w:r w:rsidRPr="00EE50E8">
        <w:rPr>
          <w:rFonts w:ascii="Times New Roman" w:hAnsi="Times New Roman" w:cs="Times New Roman"/>
          <w:kern w:val="0"/>
          <w:lang w:eastAsia="ru-RU"/>
        </w:rPr>
        <w:lastRenderedPageBreak/>
        <w:t>денежные средства проходили через советников, руководителей подведомственных структур, помощников, фиктивные договоры и подконтрольные компании. Это усложняет доказывание, но одновременно показывает, почему антикоррупционная политика должна охватывать не только чиновника, но и его ближайшее административное и коммерческое окружение.</w:t>
      </w:r>
    </w:p>
    <w:p w14:paraId="72A357AE" w14:textId="77777777" w:rsidR="0051640C" w:rsidRPr="00EE50E8" w:rsidRDefault="0051640C" w:rsidP="0051640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Процессуальная устойчивость антикоррупционных дел.</w:t>
      </w:r>
      <w:r w:rsidRPr="00EE50E8">
        <w:rPr>
          <w:rFonts w:ascii="Times New Roman" w:hAnsi="Times New Roman" w:cs="Times New Roman"/>
          <w:kern w:val="0"/>
          <w:lang w:eastAsia="ru-RU"/>
        </w:rPr>
        <w:br/>
        <w:t>История с отменой и последующим возобновлением исполнения приговора продемонстрировала, что антикоррупционная репрессия против высокопоставленных лиц требует не только убедительной доказательственной базы, но и безупречного соблюдения правил формирования суда, подсудности и специальных коллегий. Закон № 78/2000 прямо предусматривает создание специализированных судебных коллегий для рассмотрения таких дел в первой инстанции. Нарушение этих гарантий способно поставить под сомнение легитимность даже резонансного обвинительного приговора.</w:t>
      </w:r>
    </w:p>
    <w:p w14:paraId="7F67A113" w14:textId="77777777" w:rsidR="0051640C" w:rsidRPr="00EE50E8" w:rsidRDefault="0051640C" w:rsidP="0051640C">
      <w:pPr>
        <w:jc w:val="both"/>
        <w:rPr>
          <w:rFonts w:ascii="Times New Roman" w:hAnsi="Times New Roman" w:cs="Times New Roman"/>
          <w:b/>
          <w:bCs/>
          <w:i/>
          <w:iCs/>
          <w:kern w:val="0"/>
          <w:lang w:eastAsia="ru-RU"/>
        </w:rPr>
      </w:pPr>
      <w:r w:rsidRPr="00EE50E8">
        <w:rPr>
          <w:rFonts w:ascii="Times New Roman" w:hAnsi="Times New Roman" w:cs="Times New Roman"/>
          <w:b/>
          <w:bCs/>
          <w:i/>
          <w:iCs/>
          <w:kern w:val="0"/>
          <w:lang w:eastAsia="ru-RU"/>
        </w:rPr>
        <w:t>7. Выводы и уроки для антикоррупционной политики</w:t>
      </w:r>
    </w:p>
    <w:p w14:paraId="459B4146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Первый вывод: дело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демонстрирует, что коррупция в сфере публичных расходов часто строится не как грубое хищение, а как юридически оформленная трансформация частного интереса в якобы публичную потребность. В таких случаях ключевым предметом контроля должны быть не только цена и подрядчик, но и сама обоснованность государственного заказа.</w:t>
      </w:r>
    </w:p>
    <w:p w14:paraId="7023FF81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Второй вывод: наиболее опасные коррупционные практики возникают там, где должностное лицо контролирует не только принятие решений, но и темп бюджетных платежей. Возможность задерживать, ускорять или гарантировать оплату подрядчику превращается в коррупционный ресурс, даже если сами работы формально выполняются в рамках заключенных договоров.</w:t>
      </w:r>
    </w:p>
    <w:p w14:paraId="300DF957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Третий вывод: антикоррупционная система должна уделять особое внимание посредническим структурам — советникам, помощникам, руководителям подведомственных компаний, партийным организациям, рекламным и консалтинговым фирмам. Именно через них чаще всего маскируется связь между публичным решением и частной выгодой.</w:t>
      </w:r>
    </w:p>
    <w:p w14:paraId="232353A7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 xml:space="preserve">Четвертый вывод: дела о коррупции высших должностных лиц требуют повышенного стандарта процессуальной чистоты. В кейсе </w:t>
      </w:r>
      <w:proofErr w:type="spellStart"/>
      <w:r w:rsidRPr="00EE50E8">
        <w:rPr>
          <w:rFonts w:ascii="Times New Roman" w:hAnsi="Times New Roman" w:cs="Times New Roman"/>
          <w:kern w:val="0"/>
          <w:lang w:eastAsia="ru-RU"/>
        </w:rPr>
        <w:t>Удреа</w:t>
      </w:r>
      <w:proofErr w:type="spellEnd"/>
      <w:r w:rsidRPr="00EE50E8">
        <w:rPr>
          <w:rFonts w:ascii="Times New Roman" w:hAnsi="Times New Roman" w:cs="Times New Roman"/>
          <w:kern w:val="0"/>
          <w:lang w:eastAsia="ru-RU"/>
        </w:rPr>
        <w:t xml:space="preserve"> спор о законности судебных коллегий на годы осложнил исполнение приговора. Это показывает, что институциональная эффективность антикоррупционной юстиции зависит не только от активности следствия, но и от качества судебной архитектуры.</w:t>
      </w:r>
    </w:p>
    <w:p w14:paraId="1D4CE75D" w14:textId="77777777" w:rsidR="0051640C" w:rsidRPr="00EE50E8" w:rsidRDefault="0051640C" w:rsidP="0051640C">
      <w:pPr>
        <w:jc w:val="both"/>
        <w:rPr>
          <w:rFonts w:ascii="Times New Roman" w:hAnsi="Times New Roman" w:cs="Times New Roman"/>
          <w:kern w:val="0"/>
          <w:lang w:eastAsia="ru-RU"/>
        </w:rPr>
      </w:pPr>
      <w:r w:rsidRPr="00EE50E8">
        <w:rPr>
          <w:rFonts w:ascii="Times New Roman" w:hAnsi="Times New Roman" w:cs="Times New Roman"/>
          <w:kern w:val="0"/>
          <w:lang w:eastAsia="ru-RU"/>
        </w:rPr>
        <w:t>Пятый вывод: кейс имеет важное сравнительно-правовое значение для анализа коррупции в государствах Восточной Европы. Он показывает типовую комбинацию факторов: публичные закупки, политическое влияние, государственные и европейские средства, посредники, фиктивные договоры, партийные интересы и высокая зависимость доказательной конструкции от показаний участников схемы.</w:t>
      </w:r>
    </w:p>
    <w:p w14:paraId="2A54AF61" w14:textId="77777777" w:rsidR="0051640C" w:rsidRPr="00EE50E8" w:rsidRDefault="0051640C" w:rsidP="0051640C">
      <w:pPr>
        <w:spacing w:after="0"/>
        <w:jc w:val="both"/>
        <w:rPr>
          <w:rFonts w:ascii="Times New Roman" w:hAnsi="Times New Roman" w:cs="Times New Roman"/>
          <w:b/>
          <w:bCs/>
          <w:i/>
          <w:iCs/>
        </w:rPr>
      </w:pPr>
      <w:r w:rsidRPr="00EE50E8">
        <w:rPr>
          <w:rFonts w:ascii="Times New Roman" w:hAnsi="Times New Roman" w:cs="Times New Roman"/>
          <w:b/>
          <w:bCs/>
          <w:i/>
          <w:iCs/>
        </w:rPr>
        <w:t>8. Источники</w:t>
      </w:r>
    </w:p>
    <w:p w14:paraId="0DD8F8DA" w14:textId="77777777" w:rsidR="0051640C" w:rsidRPr="00CC2345" w:rsidRDefault="0051640C" w:rsidP="0051640C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lastRenderedPageBreak/>
        <w:t xml:space="preserve">Criminal Code of </w:t>
      </w:r>
      <w:proofErr w:type="gram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Romania :</w:t>
      </w:r>
      <w:proofErr w:type="gram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Law No. 286/2009, as amended //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Legislationline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 — URL: </w:t>
      </w:r>
      <w:hyperlink r:id="rId5" w:tgtFrame="_new" w:history="1">
        <w:r w:rsidRPr="00CC2345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https://legislationline.org/sites/default/files/documents/e5/Romania_Penal%20Code_am2017_en.pdf</w:t>
        </w:r>
      </w:hyperlink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57CF8A27" w14:textId="77777777" w:rsidR="0051640C" w:rsidRPr="00CC2345" w:rsidRDefault="0051640C" w:rsidP="0051640C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Law No. 78/2000 on preventing, discovering and sanctioning acts of corruption //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Direcția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Națională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Anticorupție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 — URL: </w:t>
      </w:r>
      <w:hyperlink r:id="rId6" w:tgtFrame="_new" w:history="1">
        <w:r w:rsidRPr="00CC2345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https://www.dna.ro/legislatie.xhtml?id=14&amp;jffi=legislatie&amp;jftfdi=&amp;sectiune=2</w:t>
        </w:r>
      </w:hyperlink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4FF3D488" w14:textId="77777777" w:rsidR="0051640C" w:rsidRPr="00CC2345" w:rsidRDefault="0051640C" w:rsidP="0051640C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Comunicat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privind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trimiterea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în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judecată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gram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</w:t>
      </w:r>
      <w:proofErr w:type="gram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inculpaților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Elena Gabriela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Udrea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,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Rudel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Obreja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și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alții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în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dosarul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„Gala Bute” //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Direcția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Națională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Anticorupție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. — 21.04.2015. — URL: </w:t>
      </w:r>
      <w:hyperlink r:id="rId7" w:tgtFrame="_new" w:history="1">
        <w:r w:rsidRPr="00CC2345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https://www.pna.ro/comunicat.xhtml?id=6217</w:t>
        </w:r>
      </w:hyperlink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582D417E" w14:textId="77777777" w:rsidR="0051640C" w:rsidRPr="00CC2345" w:rsidRDefault="0051640C" w:rsidP="0051640C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Romanian Ex-Minister Sentenced to Six Years for Bribery // Organized Crime and Corruption Reporting Project. — 29.03.2017. — URL: </w:t>
      </w:r>
      <w:hyperlink r:id="rId8" w:tgtFrame="_new" w:history="1">
        <w:r w:rsidRPr="00CC2345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https://www.occrp.org/en/news/romanian-ex-minister-sentenced-to-six-years-for-bribery</w:t>
        </w:r>
      </w:hyperlink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5B3661AD" w14:textId="77777777" w:rsidR="0051640C" w:rsidRPr="00CC2345" w:rsidRDefault="0051640C" w:rsidP="0051640C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Elena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Udrea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sentenced to 6 years in prison in Bute Gala file, final ruling. Attempt to flee the country, caught in Bulgaria // The Romania Journal. — 07.04.2022. — URL: </w:t>
      </w:r>
      <w:hyperlink r:id="rId9" w:tgtFrame="_new" w:history="1">
        <w:r w:rsidRPr="00CC2345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https://www.romaniajournal.ro/society-people/law-crime/elena-udrea-sentenced-to-6yrs-in-prison-in-bute-gala-file-final-ruling-attempt-to-flee-the-country-caught-in-bulgaria/</w:t>
        </w:r>
      </w:hyperlink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504E210F" w14:textId="77777777" w:rsidR="0051640C" w:rsidRPr="00CC2345" w:rsidRDefault="0051640C" w:rsidP="0051640C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Elena </w:t>
      </w:r>
      <w:proofErr w:type="spellStart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Udrea</w:t>
      </w:r>
      <w:proofErr w:type="spellEnd"/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 xml:space="preserve"> released on parole // Romania Insider. — 17.07.2025. — URL: </w:t>
      </w:r>
      <w:hyperlink r:id="rId10" w:tgtFrame="_new" w:history="1">
        <w:r w:rsidRPr="00CC2345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https://www.romania-insider.com/elena-udrea-released-parole-july-2025</w:t>
        </w:r>
      </w:hyperlink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605715E9" w14:textId="77777777" w:rsidR="0051640C" w:rsidRPr="00CC2345" w:rsidRDefault="0051640C" w:rsidP="0051640C">
      <w:pPr>
        <w:numPr>
          <w:ilvl w:val="0"/>
          <w:numId w:val="2"/>
        </w:numPr>
        <w:spacing w:before="100" w:beforeAutospacing="1" w:after="100" w:afterAutospacing="1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</w:pPr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Romania. Criminal Code and Criminal Procedure Code: extracts concerning abuse of office and corruption offences // European Commission for Democracy through Law, Venice Commission. — URL: </w:t>
      </w:r>
      <w:hyperlink r:id="rId11" w:tgtFrame="_new" w:history="1">
        <w:r w:rsidRPr="00CC2345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en-US" w:eastAsia="ru-RU"/>
            <w14:ligatures w14:val="none"/>
          </w:rPr>
          <w:t>https://www.venice.coe.int/webforms/documents/default.aspx?pdffile=CDL-REF%282018%29042-e</w:t>
        </w:r>
      </w:hyperlink>
      <w:r w:rsidRPr="00CC2345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t> </w:t>
      </w:r>
    </w:p>
    <w:p w14:paraId="5A3D4E22" w14:textId="77777777" w:rsidR="007C1520" w:rsidRPr="0051640C" w:rsidRDefault="007C1520">
      <w:pPr>
        <w:rPr>
          <w:lang w:val="en-US"/>
        </w:rPr>
      </w:pPr>
    </w:p>
    <w:sectPr w:rsidR="007C1520" w:rsidRPr="005164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AF778F"/>
    <w:multiLevelType w:val="multilevel"/>
    <w:tmpl w:val="EDE4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172E69"/>
    <w:multiLevelType w:val="hybridMultilevel"/>
    <w:tmpl w:val="41EC4C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0C"/>
    <w:rsid w:val="0051640C"/>
    <w:rsid w:val="00657B44"/>
    <w:rsid w:val="007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4B1DC"/>
  <w15:chartTrackingRefBased/>
  <w15:docId w15:val="{CD9118E7-B1B3-4F1D-9C4F-8EE3D2907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40C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64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ccrp.org/en/news/romanian-ex-minister-sentenced-to-six-years-for-bribery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na.ro/comunicat.xhtml?id=6217&amp;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na.ro/legislatie.xhtml?id=14&amp;jffi=legislatie&amp;jftfdi&amp;sectiune=2&amp;utm_source=chatgpt.com" TargetMode="External"/><Relationship Id="rId11" Type="http://schemas.openxmlformats.org/officeDocument/2006/relationships/hyperlink" Target="https://www.venice.coe.int/webforms/documents/default.aspx?pdffile=CDL-REF(2018)042-e&amp;utm_source=chatgpt.com" TargetMode="External"/><Relationship Id="rId5" Type="http://schemas.openxmlformats.org/officeDocument/2006/relationships/hyperlink" Target="https://legislationline.org/sites/default/files/documents/e5/Romania_Penal%20Code_am2017_en.pdf?utm_source=chatgpt.com" TargetMode="External"/><Relationship Id="rId10" Type="http://schemas.openxmlformats.org/officeDocument/2006/relationships/hyperlink" Target="https://www.romania-insider.com/elena-udrea-released-parole-july-2025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omaniajournal.ro/society-people/law-crime/elena-udrea-sentenced-to-6yrs-in-prison-in-bute-gala-file-final-ruling-attempt-to-flee-the-country-caught-in-bulgaria/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2495</Words>
  <Characters>14225</Characters>
  <Application>Microsoft Office Word</Application>
  <DocSecurity>0</DocSecurity>
  <Lines>118</Lines>
  <Paragraphs>33</Paragraphs>
  <ScaleCrop>false</ScaleCrop>
  <Company/>
  <LinksUpToDate>false</LinksUpToDate>
  <CharactersWithSpaces>16687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Молодиченко</dc:creator>
  <cp:keywords/>
  <dc:description/>
  <cp:lastModifiedBy>Никита Молодиченко</cp:lastModifiedBy>
  <cp:revision>1</cp:revision>
  <dcterms:created xsi:type="dcterms:W3CDTF">2026-05-02T16:38:00Z</dcterms:created>
  <dcterms:modified xsi:type="dcterms:W3CDTF">2026-05-02T16:38:00Z</dcterms:modified>
</cp:coreProperties>
</file>