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00" w:before="100" w:line="288"/>
        <w:ind/>
        <w:jc w:val="center"/>
      </w:pPr>
      <w:r>
        <w:rPr>
          <w:rFonts w:ascii="Times New Roman" w:cs="Times New Roman" w:eastAsia="Times New Roman" w:hAnsi="Times New Roman"/>
          <w:b/>
          <w:bCs/>
          <w:i w:val="false"/>
          <w:iCs w:val="false"/>
          <w:sz w:val="32"/>
          <w:szCs w:val="32"/>
        </w:rPr>
        <w:t xml:space="preserve">AI-Based Visual Detection of Musculoskeletal Disorders</w:t>
      </w:r>
    </w:p>
    <w:p>
      <w:pPr>
        <w:spacing w:after="100" w:before="100" w:line="288"/>
        <w:ind/>
        <w:jc w:val="center"/>
      </w:pPr>
      <w:r>
        <w:rPr>
          <w:rFonts w:ascii="Times New Roman" w:cs="Times New Roman" w:eastAsia="Times New Roman" w:hAnsi="Times New Roman"/>
          <w:b/>
          <w:bCs/>
          <w:i w:val="false"/>
          <w:iCs w:val="false"/>
          <w:sz w:val="32"/>
          <w:szCs w:val="32"/>
        </w:rPr>
        <w:t xml:space="preserve">with Personalized Exercise Recommendation</w:t>
      </w:r>
    </w:p>
    <w:p>
      <w:pPr>
        <w:spacing w:after="0" w:before="200"/>
      </w:pPr>
      <w:r>
        <w:t xml:space="preserve"/>
      </w:r>
    </w:p>
    <w:p>
      <w:pPr>
        <w:spacing w:after="100" w:before="100" w:line="288"/>
        <w:jc w:val="center"/>
      </w:pPr>
      <w:r>
        <w:rPr>
          <w:rFonts w:ascii="Times New Roman" w:cs="Times New Roman" w:eastAsia="Times New Roman" w:hAnsi="Times New Roman"/>
          <w:b/>
          <w:bCs/>
          <w:i w:val="false"/>
          <w:iCs w:val="false"/>
          <w:sz w:val="24"/>
          <w:szCs w:val="24"/>
        </w:rPr>
        <w:t xml:space="preserve">Kapil Tanwer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Dheeraj</w:t>
      </w:r>
    </w:p>
    <w:p>
      <w:pPr>
        <w:spacing w:after="0" w:before="60"/>
      </w:pPr>
      <w:r>
        <w:t xml:space="preserve"/>
      </w:r>
    </w:p>
    <w:p>
      <w:pPr>
        <w:spacing w:after="100" w:before="100" w:line="288"/>
        <w:ind/>
        <w:jc w:val="center"/>
      </w:pPr>
      <w:r>
        <w:rPr>
          <w:rFonts w:ascii="Times New Roman" w:cs="Times New Roman" w:eastAsia="Times New Roman" w:hAnsi="Times New Roman"/>
          <w:b w:val="false"/>
          <w:bCs w:val="false"/>
          <w:i/>
          <w:iCs/>
          <w:sz w:val="22"/>
          <w:szCs w:val="22"/>
        </w:rPr>
        <w:t xml:space="preserve">Department of Computer Science and Engineering</w:t>
      </w:r>
    </w:p>
    <w:p>
      <w:pPr>
        <w:spacing w:after="100" w:before="100" w:line="288"/>
        <w:ind/>
        <w:jc w:val="center"/>
      </w:pPr>
      <w:r>
        <w:rPr>
          <w:rFonts w:ascii="Times New Roman" w:cs="Times New Roman" w:eastAsia="Times New Roman" w:hAnsi="Times New Roman"/>
          <w:b w:val="false"/>
          <w:bCs w:val="false"/>
          <w:i/>
          <w:iCs/>
          <w:sz w:val="22"/>
          <w:szCs w:val="22"/>
        </w:rPr>
        <w:t xml:space="preserve">Chitkara University, Patiala, Punjab, India</w:t>
      </w:r>
    </w:p>
    <w:p>
      <w:pPr>
        <w:spacing w:after="0" w:before="40"/>
      </w:pPr>
      <w:r>
        <w:t xml:space="preserve"/>
      </w:r>
    </w:p>
    <w:p>
      <w:pPr>
        <w:spacing w:after="100" w:before="100" w:line="288"/>
        <w:ind/>
        <w:jc w:val="center"/>
      </w:pPr>
      <w:r>
        <w:rPr>
          <w:rFonts w:ascii="Times New Roman" w:cs="Times New Roman" w:eastAsia="Times New Roman" w:hAnsi="Times New Roman"/>
          <w:b w:val="false"/>
          <w:bCs w:val="false"/>
          <w:i w:val="false"/>
          <w:iCs w:val="false"/>
          <w:sz w:val="20"/>
          <w:szCs w:val="20"/>
        </w:rPr>
        <w:t xml:space="preserve">kapil745.be22@chitkara.edu.in   |   dheeraj1503.be22@chitkara.edu.in</w:t>
      </w:r>
    </w:p>
    <w:p>
      <w:pPr>
        <w:spacing w:after="0" w:before="200"/>
      </w:pPr>
      <w:r>
        <w:t xml:space="preserve"/>
      </w:r>
    </w:p>
    <w:p>
      <w:pPr>
        <w:pBdr>
          <w:bottom w:val="single" w:color="333333" w:sz="8" w:space="1"/>
        </w:pBdr>
        <w:spacing w:after="120" w:before="120"/>
      </w:pPr>
      <w:r>
        <w:t xml:space="preserve"/>
      </w:r>
    </w:p>
    <w:p>
      <w:pPr>
        <w:spacing w:after="0" w:before="200"/>
      </w:pPr>
      <w:r>
        <w:t xml:space="preserve"/>
      </w:r>
    </w:p>
    <w:p>
      <w:pPr>
        <w:pStyle w:val="Heading1"/>
        <w:spacing w:after="160" w:before="340"/>
      </w:pPr>
      <w:r>
        <w:rPr>
          <w:rFonts w:ascii="Times New Roman" w:cs="Times New Roman" w:eastAsia="Times New Roman" w:hAnsi="Times New Roman"/>
          <w:b/>
          <w:bCs/>
          <w:caps/>
          <w:sz w:val="30"/>
          <w:szCs w:val="30"/>
        </w:rPr>
        <w:t xml:space="preserve">Abstract</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Musculoskeletal disorders (MSDs) represent one of the leading causes of physical disability worldwide, significantly affecting posture, mobility, and overall quality of life. These disorders encompass conditions that impair the muscles, bones, joints, and surrounding connective tissues, with consequences ranging from acute pain and reduced range of motion to chronic disability. Early and accurate detection of MSDs remains a persistent clinical challenge, compounded by limited healthcare access in underserved regions and the absence of continuous, affordable monitoring systems in community and workplace settings.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This paper presents an intelligent, vision-based computational framework that leverages artificial intelligence techniques for the automatic identification of posture-related musculoskeletal anomalies. The proposed system integrates human pose estimation, deep-learning-based feature extraction, and multi-class supervised classification to detect a spectrum of abnormalities including forward head posture (FHP), spinal deviations such as scoliosis, and joint misalignment across multiple anatomical regions.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A key innovation of the proposed system is its personalized exercise recommendation module, which generates targeted rehabilitation prescriptions based on the specific type, anatomical location, and inferred severity of the detected musculoskeletal disorder. The system is designed to operate in real time using only standard camera equipment or uploaded radiographic images, making it economical, non-invasive, and widely deployable without specialist infrastructure.</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Experimental evaluation on the Stanford University MURA radiographic dataset and the UCI EMG Dataset of Limb Muscles demonstrates that the DenseNet-based classification model achieves an accuracy of 97.3%, outperforming all baseline classifiers. The integrated recommendation engine successfully generates clinically relevant exercise protocols for all detected abnormality categories. These results establish the viability of the proposed framework as a practical, AI-driven assistant for early musculoskeletal disorder detection and community-level rehabilitation support.</w:t>
      </w:r>
    </w:p>
    <w:p>
      <w:pPr>
        <w:spacing w:after="0" w:before="80"/>
      </w:pPr>
      <w:r>
        <w:t xml:space="preserve"/>
      </w:r>
    </w:p>
    <w:p>
      <w:pPr>
        <w:spacing w:after="100" w:before="100" w:line="288"/>
        <w:jc w:val="both"/>
      </w:pPr>
      <w:r>
        <w:rPr>
          <w:rFonts w:ascii="Times New Roman" w:cs="Times New Roman" w:eastAsia="Times New Roman" w:hAnsi="Times New Roman"/>
          <w:b/>
          <w:bCs/>
          <w:i w:val="false"/>
          <w:iCs w:val="false"/>
          <w:sz w:val="22"/>
          <w:szCs w:val="22"/>
        </w:rPr>
        <w:t xml:space="preserve">Keywords: </w:t>
      </w:r>
      <w:r>
        <w:rPr>
          <w:rFonts w:ascii="Times New Roman" w:cs="Times New Roman" w:eastAsia="Times New Roman" w:hAnsi="Times New Roman"/>
          <w:b w:val="false"/>
          <w:bCs w:val="false"/>
          <w:i w:val="false"/>
          <w:iCs w:val="false"/>
          <w:sz w:val="22"/>
          <w:szCs w:val="22"/>
        </w:rPr>
        <w:t xml:space="preserve">Artificial Intelligence, Musculoskeletal Disorders, Computer Vision, Human Pose Estimation, Deep Learning, Convolutional Neural Networks, Exercise Recommendation, Radiographic Image Analysis, Rehabilitation</w:t>
      </w:r>
    </w:p>
    <w:p>
      <w:pPr>
        <w:pBdr>
          <w:bottom w:val="single" w:color="333333" w:sz="8" w:space="1"/>
        </w:pBdr>
        <w:spacing w:after="120" w:before="120"/>
      </w:pPr>
      <w:r>
        <w:t xml:space="preserve"/>
      </w:r>
    </w:p>
    <w:p>
      <w:pPr>
        <w:pStyle w:val="Heading1"/>
        <w:spacing w:after="160" w:before="340"/>
      </w:pPr>
      <w:r>
        <w:rPr>
          <w:rFonts w:ascii="Times New Roman" w:cs="Times New Roman" w:eastAsia="Times New Roman" w:hAnsi="Times New Roman"/>
          <w:b/>
          <w:bCs/>
          <w:caps/>
          <w:sz w:val="30"/>
          <w:szCs w:val="30"/>
        </w:rPr>
        <w:t xml:space="preserve">1. Introduction</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Musculoskeletal disorders constitute a broad category of conditions that affect the structural and functional integrity of the human body's locomotor system. Encompassing the muscles, bones, cartilage, tendons, ligaments, joints, and peripheral nerves, MSDs are among the most prevalent and economically burdensome health conditions globally. According to the Global Burden of Disease Study, musculoskeletal conditions are the second largest contributor to disability worldwide, with low back pain ranking as the single leading cause of years lived with disability [1]. In occupational contexts, MSDs are the most frequently reported work-related illnesses in both developed and developing nations, resulting in enormous costs associated with medical treatment, lost productivity, and long-term rehabilitation.</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etiology of MSDs is multifactorial. Sedentary lifestyles, prolonged static postures, repetitive occupational tasks, poor ergonomic conditions, and insufficient physical activity are among the most commonly identified risk factors. With the global proliferation of desk-based and screen-intensive work — a trend sharply accelerated by remote work arrangements during and following the COVID-19 pandemic — the incidence of posture-related MSDs such as forward head posture, cervical spondylosis, and lumbar strain has increased markedly across all working-age demographics.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Despite the high prevalence of MSDs, their early detection remains inadequate at the population level. The conventional diagnostic pathway requires individuals to present to a healthcare professional for physical examination, which may be supplemented by imaging modalities such as X-ray, MRI, or electromyography. This model is inherently reactive: individuals typically seek diagnosis only after symptoms have become sufficiently severe to interfere with daily function. Moreover, the cost and logistical requirements of clinical assessment render this pathway inaccessible to a substantial portion of the global population, particularly in rural, remote, and resource-limited settings.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Advances in computer vision and artificial intelligence now offer a transformative opportunity to address these limitations. Pose estimation algorithms can detect and track human body landmarks — including the head, shoulders, spine, hips, knees, and joints — from standard video or photographic input with high precision. By applying machine learning models to the extracted postural data, it is possible to automatically identify deviations from normative alignment and classify them into clinically meaningful disorder categories. Furthermore, the integration of a recommendation engine enables the system to translate diagnostic outputs directly into personalized rehabilitation guidance, closing the loop between detection and treatment.</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present study proposes an end-to-end AI-based framework for the visual detection of musculoskeletal disorders and the generation of personalized exercise recommendations. The system is designed to be non-invasive, affordable, real-time capable, and deployable on consumer hardware, thereby addressing existing barriers of cost, access, and clinical dependency. The contributions of this work are as follows:</w:t>
      </w:r>
    </w:p>
    <w:p>
      <w:pPr>
        <w:pStyle w:val="ListParagraph"/>
        <w:numPr>
          <w:ilvl w:val="0"/>
          <w:numId w:val="2"/>
        </w:numPr>
        <w:spacing w:after="60" w:before="60" w:line="276"/>
      </w:pPr>
      <w:r>
        <w:rPr>
          <w:rFonts w:ascii="Times New Roman" w:cs="Times New Roman" w:eastAsia="Times New Roman" w:hAnsi="Times New Roman"/>
          <w:sz w:val="22"/>
          <w:szCs w:val="22"/>
        </w:rPr>
        <w:t xml:space="preserve">A modular, multi-layer AI architecture integrating pose estimation, radiographic image analysis, and deep learning classification for comprehensive MSD detection.</w:t>
      </w:r>
    </w:p>
    <w:p>
      <w:pPr>
        <w:pStyle w:val="ListParagraph"/>
        <w:numPr>
          <w:ilvl w:val="0"/>
          <w:numId w:val="2"/>
        </w:numPr>
        <w:spacing w:after="60" w:before="60" w:line="276"/>
      </w:pPr>
      <w:r>
        <w:rPr>
          <w:rFonts w:ascii="Times New Roman" w:cs="Times New Roman" w:eastAsia="Times New Roman" w:hAnsi="Times New Roman"/>
          <w:sz w:val="22"/>
          <w:szCs w:val="22"/>
        </w:rPr>
        <w:t xml:space="preserve">A comparative evaluation of multiple classical machine learning and deep learning models for body-part classification and disorder detection, demonstrating the superiority of DenseNet-based architectures.</w:t>
      </w:r>
    </w:p>
    <w:p>
      <w:pPr>
        <w:pStyle w:val="ListParagraph"/>
        <w:numPr>
          <w:ilvl w:val="0"/>
          <w:numId w:val="2"/>
        </w:numPr>
        <w:spacing w:after="60" w:before="60" w:line="276"/>
      </w:pPr>
      <w:r>
        <w:rPr>
          <w:rFonts w:ascii="Times New Roman" w:cs="Times New Roman" w:eastAsia="Times New Roman" w:hAnsi="Times New Roman"/>
          <w:sz w:val="22"/>
          <w:szCs w:val="22"/>
        </w:rPr>
        <w:t xml:space="preserve">A rule-based and API-integrated personalized exercise recommendation engine that maps disorder type and anatomical location to targeted rehabilitation protocols.</w:t>
      </w:r>
    </w:p>
    <w:p>
      <w:pPr>
        <w:pStyle w:val="ListParagraph"/>
        <w:numPr>
          <w:ilvl w:val="0"/>
          <w:numId w:val="2"/>
        </w:numPr>
        <w:spacing w:after="60" w:before="60" w:line="276"/>
      </w:pPr>
      <w:r>
        <w:rPr>
          <w:rFonts w:ascii="Times New Roman" w:cs="Times New Roman" w:eastAsia="Times New Roman" w:hAnsi="Times New Roman"/>
          <w:sz w:val="22"/>
          <w:szCs w:val="22"/>
        </w:rPr>
        <w:t xml:space="preserve">A web-based user interface enabling real-time image upload, disorder prediction, confidence scoring, and exercise prescription delivery.</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remainder of this paper is structured as follows. Section 2 reviews related literature. Section 3 defines the problem statement. Section 4 presents the research objectives. Section 5 describes the proposed system architecture. Section 6 details the methodology. Section 7 covers implementation specifics. Section 8 presents results and analysis. Sections 9, 10, and 11 discuss limitations, future work, and conclusions respectively.</w:t>
      </w:r>
    </w:p>
    <w:p>
      <w:pPr>
        <w:pBdr>
          <w:bottom w:val="single" w:color="333333" w:sz="8" w:space="1"/>
        </w:pBdr>
        <w:spacing w:after="120" w:before="120"/>
      </w:pPr>
      <w:r>
        <w:t xml:space="preserve"/>
      </w:r>
    </w:p>
    <w:p>
      <w:pPr>
        <w:pStyle w:val="Heading1"/>
        <w:spacing w:after="160" w:before="340"/>
      </w:pPr>
      <w:r>
        <w:rPr>
          <w:rFonts w:ascii="Times New Roman" w:cs="Times New Roman" w:eastAsia="Times New Roman" w:hAnsi="Times New Roman"/>
          <w:b/>
          <w:bCs/>
          <w:caps/>
          <w:sz w:val="30"/>
          <w:szCs w:val="30"/>
        </w:rPr>
        <w:t xml:space="preserve">2. Literature Review</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application of artificial intelligence to musculoskeletal health assessment has been an active area of research, drawing on advances in computer vision, signal processing, wearable technology, and deep learning. This section reviews the key developments that inform the design of the proposed system.</w:t>
      </w:r>
    </w:p>
    <w:p>
      <w:pPr>
        <w:pStyle w:val="Heading2"/>
        <w:spacing w:after="120" w:before="240"/>
      </w:pPr>
      <w:r>
        <w:rPr>
          <w:rFonts w:ascii="Times New Roman" w:cs="Times New Roman" w:eastAsia="Times New Roman" w:hAnsi="Times New Roman"/>
          <w:b/>
          <w:bCs/>
          <w:sz w:val="24"/>
          <w:szCs w:val="24"/>
        </w:rPr>
        <w:t xml:space="preserve">2.1 Wearable Sensor-Based Approaches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Early automated MSD detection relied predominantly on wearable sensor systems. Patel et al. [2] provided a comprehensive review of wearable technologies applied to neurorehabilitation, identifying inertial measurement units (IMUs), electromyography (EMG) sensors, and pressure-sensitive garments as the primary modalities. These devices demonstrated the ability to capture fine-grained kinematic and physiological data during natural movement. However, their practical adoption has been limited by high equipment costs, the intrusiveness of prolonged wear, the need for expert calibration, and the absence of real-time feedback mechanisms suitable for community or self-monitoring use.</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EMG-based approaches have shown particular promise for the detection of muscular pathologies. By measuring electrical activity generated by muscle contractions, EMG signals can differentiate between normal and pathological neuromuscular patterns. Research has demonstrated that statistical features extracted from EMG signals — including mean amplitude, root mean square (RMS) values, variance, and frequency-domain characteristics — provide discriminative input features for machine learning classifiers applied to conditions such as knee osteoarthritis and muscular dystrophy [2].</w:t>
      </w:r>
    </w:p>
    <w:p>
      <w:pPr>
        <w:pStyle w:val="Heading2"/>
        <w:spacing w:after="120" w:before="240"/>
      </w:pPr>
      <w:r>
        <w:rPr>
          <w:rFonts w:ascii="Times New Roman" w:cs="Times New Roman" w:eastAsia="Times New Roman" w:hAnsi="Times New Roman"/>
          <w:b/>
          <w:bCs/>
          <w:sz w:val="24"/>
          <w:szCs w:val="24"/>
        </w:rPr>
        <w:t xml:space="preserve">2.2 Computer Vision and Pose Estimation</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advent of robust pose estimation frameworks has fundamentally transformed the landscape of automated posture assessment. Toshev and Szegedy [4] introduced DeepPose, one of the earliest deep neural network approaches to human pose estimation, formulating the problem as a joint regression task over a cascade of convolutional networks. This foundational work demonstrated that deep learning could dramatically outperform traditional part-based graphical models for keypoint localization.</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Subsequent developments, including the introduction of stacked hourglass networks, high-resolution networks (HRNet), and the landmark MediaPipe Holistic framework by Google, have made real-time, markerless pose estimation practical on consumer devices. MediaPipe enables the detection of 33 body landmarks with sub-frame latency on mobile hardware, providing joint angle, bone length, and alignment data that directly support postural analysis [7]. These capabilities have enabled researchers to move from laboratory-grade motion capture systems to scalable, camera-based assessment pipelines.</w:t>
      </w:r>
    </w:p>
    <w:p>
      <w:pPr>
        <w:pStyle w:val="Heading2"/>
        <w:spacing w:after="120" w:before="240"/>
      </w:pPr>
      <w:r>
        <w:rPr>
          <w:rFonts w:ascii="Times New Roman" w:cs="Times New Roman" w:eastAsia="Times New Roman" w:hAnsi="Times New Roman"/>
          <w:b/>
          <w:bCs/>
          <w:sz w:val="24"/>
          <w:szCs w:val="24"/>
        </w:rPr>
        <w:t xml:space="preserve">2.3 Deep Learning for Radiographic Analysis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application of convolutional neural networks to radiographic image analysis has produced substantial advances in automated musculoskeletal disorder diagnosis. The Stanford University MURA dataset [1] — comprising over 40,000 musculoskeletal radiographs across seven upper extremity body-part categories — provided a large-scale benchmark that catalyzed the development of radiograph-based diagnostic models. Studies benchmarking DenseNet-169 on MURA demonstrated that deep learning models could approach or exceed radiologist-level performance in detecting abnormalities in wrist, shoulder, and elbow radiographs.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CNN architectures including VGG [3], ResNet [4], and DenseNet have been systematically compared for medical image classification tasks. DenseNet's densely connected architecture — in which each layer receives feature maps from all preceding layers — promotes feature reuse and gradient flow, yielding high accuracy with relatively compact model sizes. ResNet's residual connections address the vanishing gradient problem that impedes training of very deep networks, enabling architectures with hundreds of layers to learn complex hierarchical representations effectively.</w:t>
      </w:r>
    </w:p>
    <w:p>
      <w:pPr>
        <w:pStyle w:val="Heading2"/>
        <w:spacing w:after="120" w:before="240"/>
      </w:pPr>
      <w:r>
        <w:rPr>
          <w:rFonts w:ascii="Times New Roman" w:cs="Times New Roman" w:eastAsia="Times New Roman" w:hAnsi="Times New Roman"/>
          <w:b/>
          <w:bCs/>
          <w:sz w:val="24"/>
          <w:szCs w:val="24"/>
        </w:rPr>
        <w:t xml:space="preserve">2.4 Work-Related MSD Risk Assessment</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Peppoloni et al. [6] developed a work-related MSD risk assessment system using single-view pose estimation, automating the assessment of ergonomic risk scores such as the Rapid Upper Limb Assessment (RULA) from standard camera input. This system demonstrated that AI-driven pose analysis could replicate observational ergonomic assessment with high agreement, reducing the reliance on trained ergonomists. Tiwari et al. [3] reported the prevalence and risk factor associations of MSDs among older Indian adults using nationally representative survey data, highlighting the disproportionate burden borne by lower-income populations and the critical need for accessible, affordable diagnostic tools.</w:t>
      </w:r>
    </w:p>
    <w:p>
      <w:pPr>
        <w:pStyle w:val="Heading2"/>
        <w:spacing w:after="120" w:before="240"/>
      </w:pPr>
      <w:r>
        <w:rPr>
          <w:rFonts w:ascii="Times New Roman" w:cs="Times New Roman" w:eastAsia="Times New Roman" w:hAnsi="Times New Roman"/>
          <w:b/>
          <w:bCs/>
          <w:sz w:val="24"/>
          <w:szCs w:val="24"/>
        </w:rPr>
        <w:t xml:space="preserve">2.5 Integration of Diagnosis with Rehabilitation</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Despite the progress described above, a consistent limitation of existing systems is their focus on classification to the exclusion of rehabilitative guidance. Beh et al. [5] developed a deep-learning-based posture detection system specifically targeting telework-related MSDs; while effective at identification, their system does not extend to exercise prescription. Similarly, the MediaPipe-based exercise posture recognition framework described by IEEE [7] addresses exercise form evaluation but presupposes that appropriate exercises have already been selected. No published system to date provides a seamless, end-to-end pipeline that integrates disorder detection with dynamic, personalized exercise recommendations tailored to the predicted disorder type and body region.</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Smith et al. [8] analysed the data efficiency and performance of machine learning algorithms for evaluating low back pain rehabilitation exercises, concluding that model-based approaches could accurately assess exercise quality with limited labelled data. Bhatt et al. [9] contributed a comprehensive review of machine learning techniques for ergonomic risk assessment using pose estimation, identifying the integration of detection with intervention as a key gap in the current literature. The present work directly addresses this gap.</w:t>
      </w:r>
    </w:p>
    <w:p>
      <w:pPr>
        <w:pBdr>
          <w:bottom w:val="single" w:color="333333" w:sz="8" w:space="1"/>
        </w:pBdr>
        <w:spacing w:after="120" w:before="120"/>
      </w:pPr>
      <w:r>
        <w:t xml:space="preserve"/>
      </w:r>
    </w:p>
    <w:p>
      <w:pPr>
        <w:pStyle w:val="Heading1"/>
        <w:spacing w:after="160" w:before="340"/>
      </w:pPr>
      <w:r>
        <w:rPr>
          <w:rFonts w:ascii="Times New Roman" w:cs="Times New Roman" w:eastAsia="Times New Roman" w:hAnsi="Times New Roman"/>
          <w:b/>
          <w:bCs/>
          <w:caps/>
          <w:sz w:val="30"/>
          <w:szCs w:val="30"/>
        </w:rPr>
        <w:t xml:space="preserve">3. Problem Statement</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Despite the considerable technological progress described in the literature review, musculoskeletal disorders continue to represent a major and growing public health problem. The inadequacy of existing detection and management approaches can be characterised across four principal dimensions.</w:t>
      </w:r>
    </w:p>
    <w:p>
      <w:pPr>
        <w:pStyle w:val="Heading2"/>
        <w:spacing w:after="120" w:before="240"/>
      </w:pPr>
      <w:r>
        <w:rPr>
          <w:rFonts w:ascii="Times New Roman" w:cs="Times New Roman" w:eastAsia="Times New Roman" w:hAnsi="Times New Roman"/>
          <w:b/>
          <w:bCs/>
          <w:sz w:val="24"/>
          <w:szCs w:val="24"/>
        </w:rPr>
        <w:t xml:space="preserve">3.1 Absence of Continuous and Affordable Early Detection</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majority of individuals do not have access to tools capable of monitoring their musculoskeletal health on an ongoing basis. Minor postural deviations and early-stage structural abnormalities — which, if identified promptly, could be corrected through relatively simple interventions — frequently go undetected until they produce symptomatic discomfort. At this point, the disorder is typically more advanced, requires more intensive treatment, and carries a higher risk of chronicity. The absence of a low-cost, continuous monitoring solution therefore creates a systematic bias toward late-stage diagnosis and more costly care pathways.</w:t>
      </w:r>
    </w:p>
    <w:p>
      <w:pPr>
        <w:pStyle w:val="Heading2"/>
        <w:spacing w:after="120" w:before="240"/>
      </w:pPr>
      <w:r>
        <w:rPr>
          <w:rFonts w:ascii="Times New Roman" w:cs="Times New Roman" w:eastAsia="Times New Roman" w:hAnsi="Times New Roman"/>
          <w:b/>
          <w:bCs/>
          <w:sz w:val="24"/>
          <w:szCs w:val="24"/>
        </w:rPr>
        <w:t xml:space="preserve">3.2 Dependency on Medical Professionals and Clinical Infrastructure</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Current diagnostic pathways for MSDs are predicated on access to trained medical professionals and clinical-grade equipment. Physical examination, radiography, MRI, and specialist referral chains are the established standard of care, but these resources are unevenly distributed geographically and financially. In low- and middle-income countries, and even in rural areas of high-income countries, access to orthopaedic specialists, physiotherapists, and diagnostic imaging is severely constrained. This structural inequity means that significant populations receive no diagnosis until the disorder has substantially progressed.</w:t>
      </w:r>
    </w:p>
    <w:p>
      <w:pPr>
        <w:pStyle w:val="Heading2"/>
        <w:spacing w:after="120" w:before="240"/>
      </w:pPr>
      <w:r>
        <w:rPr>
          <w:rFonts w:ascii="Times New Roman" w:cs="Times New Roman" w:eastAsia="Times New Roman" w:hAnsi="Times New Roman"/>
          <w:b/>
          <w:bCs/>
          <w:sz w:val="24"/>
          <w:szCs w:val="24"/>
        </w:rPr>
        <w:t xml:space="preserve">3.3 Cost and Inaccessibility of Diagnostic Devices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Existing automated diagnostic devices — including clinical-grade wearable EMG systems, three-dimensional motion capture laboratories, and AI-enhanced imaging platforms — are expensive, require expert operation, and are not designed for use outside of clinical or research settings. The unit cost of these systems places them beyond the reach of individual users and many community health facilities, further entrenching the access gap described above.</w:t>
      </w:r>
    </w:p>
    <w:p>
      <w:pPr>
        <w:pStyle w:val="Heading2"/>
        <w:spacing w:after="120" w:before="240"/>
      </w:pPr>
      <w:r>
        <w:rPr>
          <w:rFonts w:ascii="Times New Roman" w:cs="Times New Roman" w:eastAsia="Times New Roman" w:hAnsi="Times New Roman"/>
          <w:b/>
          <w:bCs/>
          <w:sz w:val="24"/>
          <w:szCs w:val="24"/>
        </w:rPr>
        <w:t xml:space="preserve">3.4 Lack of Personalized Rehabilitative Guidance</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Perhaps the most significant gap in existing solutions is the absence of personalized, actionable rehabilitative guidance integrated with diagnostic output. Systems that successfully classify a disorder as abnormal typically do not prescribe corrective action. When rehabilitation guidance is provided — whether by a physiotherapist or through generic informational resources — it is rarely personalized to the individual's specific disorder type, affected body part, severity level, age, or physical capacity. This limits the effectiveness of self-managed rehabilitation and contributes to suboptimal recovery outcomes.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Collectively, these deficiencies define the need for a unified, affordable, intelligent, and user-friendly system that can detect musculoskeletal disorders at an early stage and immediately translate the diagnosis into personalized rehabilitation guidance — without requiring specialist clinical infrastructure.</w:t>
      </w:r>
    </w:p>
    <w:p>
      <w:pPr>
        <w:pBdr>
          <w:bottom w:val="single" w:color="333333" w:sz="8" w:space="1"/>
        </w:pBdr>
        <w:spacing w:after="120" w:before="120"/>
      </w:pPr>
      <w:r>
        <w:t xml:space="preserve"/>
      </w:r>
    </w:p>
    <w:p>
      <w:pPr>
        <w:pStyle w:val="Heading1"/>
        <w:spacing w:after="160" w:before="340"/>
      </w:pPr>
      <w:r>
        <w:rPr>
          <w:rFonts w:ascii="Times New Roman" w:cs="Times New Roman" w:eastAsia="Times New Roman" w:hAnsi="Times New Roman"/>
          <w:b/>
          <w:bCs/>
          <w:caps/>
          <w:sz w:val="30"/>
          <w:szCs w:val="30"/>
        </w:rPr>
        <w:t xml:space="preserve">4. Research Objectives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following research objectives guide the design, development, and evaluation of the proposed system:</w:t>
      </w:r>
    </w:p>
    <w:p>
      <w:pPr>
        <w:pStyle w:val="ListParagraph"/>
        <w:numPr>
          <w:ilvl w:val="0"/>
          <w:numId w:val="3"/>
        </w:numPr>
        <w:spacing w:after="80" w:before="80" w:line="276"/>
      </w:pPr>
      <w:r>
        <w:rPr>
          <w:rFonts w:ascii="Times New Roman" w:cs="Times New Roman" w:eastAsia="Times New Roman" w:hAnsi="Times New Roman"/>
          <w:sz w:val="22"/>
          <w:szCs w:val="22"/>
        </w:rPr>
        <w:t xml:space="preserve">Develop an intelligent, automated detection system capable of early identification and classification of musculoskeletal disorders from radiographic and pose-based image inputs.</w:t>
      </w:r>
    </w:p>
    <w:p>
      <w:pPr>
        <w:pStyle w:val="ListParagraph"/>
        <w:numPr>
          <w:ilvl w:val="0"/>
          <w:numId w:val="4"/>
        </w:numPr>
        <w:spacing w:after="80" w:before="80" w:line="276"/>
      </w:pPr>
      <w:r>
        <w:rPr>
          <w:rFonts w:ascii="Times New Roman" w:cs="Times New Roman" w:eastAsia="Times New Roman" w:hAnsi="Times New Roman"/>
          <w:sz w:val="22"/>
          <w:szCs w:val="22"/>
        </w:rPr>
        <w:t xml:space="preserve">Implement vision-based, markerless, automatic detection of abnormal postures using state-of-the-art pose estimation techniques, eliminating the need for specialist hardware.</w:t>
      </w:r>
    </w:p>
    <w:p>
      <w:pPr>
        <w:pStyle w:val="ListParagraph"/>
        <w:numPr>
          <w:ilvl w:val="0"/>
          <w:numId w:val="3"/>
        </w:numPr>
        <w:spacing w:after="80" w:before="80" w:line="276"/>
      </w:pPr>
      <w:r>
        <w:rPr>
          <w:rFonts w:ascii="Times New Roman" w:cs="Times New Roman" w:eastAsia="Times New Roman" w:hAnsi="Times New Roman"/>
          <w:sz w:val="22"/>
          <w:szCs w:val="22"/>
        </w:rPr>
        <w:t xml:space="preserve">Perform comprehensive posture and joint alignment analysis by extracting biomechanically relevant features — including joint angles, limb symmetry metrics, and spinal alignment indices — from pose estimation output.</w:t>
      </w:r>
    </w:p>
    <w:p>
      <w:pPr>
        <w:pStyle w:val="ListParagraph"/>
        <w:numPr>
          <w:ilvl w:val="0"/>
          <w:numId w:val="4"/>
        </w:numPr>
        <w:spacing w:after="80" w:before="80" w:line="276"/>
      </w:pPr>
      <w:r>
        <w:rPr>
          <w:rFonts w:ascii="Times New Roman" w:cs="Times New Roman" w:eastAsia="Times New Roman" w:hAnsi="Times New Roman"/>
          <w:sz w:val="22"/>
          <w:szCs w:val="22"/>
        </w:rPr>
        <w:t xml:space="preserve">Evaluate body-part-specific alignment, joint positioning, and movement patterns to identify postural deviations consistent with clinically recognized MSD categories.</w:t>
      </w:r>
    </w:p>
    <w:p>
      <w:pPr>
        <w:pStyle w:val="ListParagraph"/>
        <w:numPr>
          <w:ilvl w:val="0"/>
          <w:numId w:val="3"/>
        </w:numPr>
        <w:spacing w:after="80" w:before="80" w:line="276"/>
      </w:pPr>
      <w:r>
        <w:rPr>
          <w:rFonts w:ascii="Times New Roman" w:cs="Times New Roman" w:eastAsia="Times New Roman" w:hAnsi="Times New Roman"/>
          <w:sz w:val="22"/>
          <w:szCs w:val="22"/>
        </w:rPr>
        <w:t xml:space="preserve">Utilize and comparatively evaluate multiple deep learning architectures — including CNN variants, VGG, ResNet, and DenseNet — for accurate classification of normal and abnormal musculoskeletal conditions.</w:t>
      </w:r>
    </w:p>
    <w:p>
      <w:pPr>
        <w:pStyle w:val="ListParagraph"/>
        <w:numPr>
          <w:ilvl w:val="0"/>
          <w:numId w:val="4"/>
        </w:numPr>
        <w:spacing w:after="80" w:before="80" w:line="276"/>
      </w:pPr>
      <w:r>
        <w:rPr>
          <w:rFonts w:ascii="Times New Roman" w:cs="Times New Roman" w:eastAsia="Times New Roman" w:hAnsi="Times New Roman"/>
          <w:sz w:val="22"/>
          <w:szCs w:val="22"/>
        </w:rPr>
        <w:t xml:space="preserve">Design and implement a rule-based and API-integrated personalized exercise recommendation module that generates targeted corrective prescriptions based on detected disorder type, anatomical location, and severity.</w:t>
      </w:r>
    </w:p>
    <w:p>
      <w:pPr>
        <w:pStyle w:val="ListParagraph"/>
        <w:numPr>
          <w:ilvl w:val="0"/>
          <w:numId w:val="3"/>
        </w:numPr>
        <w:spacing w:after="80" w:before="80" w:line="276"/>
      </w:pPr>
      <w:r>
        <w:rPr>
          <w:rFonts w:ascii="Times New Roman" w:cs="Times New Roman" w:eastAsia="Times New Roman" w:hAnsi="Times New Roman"/>
          <w:sz w:val="22"/>
          <w:szCs w:val="22"/>
        </w:rPr>
        <w:t xml:space="preserve">Provide real-time system feedback immediately upon submission of posture image or radiograph, supporting timely intervention without clinical delays.</w:t>
      </w:r>
    </w:p>
    <w:p>
      <w:pPr>
        <w:pStyle w:val="ListParagraph"/>
        <w:numPr>
          <w:ilvl w:val="0"/>
          <w:numId w:val="4"/>
        </w:numPr>
        <w:spacing w:after="80" w:before="80" w:line="276"/>
      </w:pPr>
      <w:r>
        <w:rPr>
          <w:rFonts w:ascii="Times New Roman" w:cs="Times New Roman" w:eastAsia="Times New Roman" w:hAnsi="Times New Roman"/>
          <w:sz w:val="22"/>
          <w:szCs w:val="22"/>
        </w:rPr>
        <w:t xml:space="preserve">Develop an economical, hardware-light solution deployable on widely available consumer devices including standard webcams, smartphones, and personal computers.</w:t>
      </w:r>
    </w:p>
    <w:p>
      <w:pPr>
        <w:pStyle w:val="ListParagraph"/>
        <w:numPr>
          <w:ilvl w:val="0"/>
          <w:numId w:val="3"/>
        </w:numPr>
        <w:spacing w:after="80" w:before="80" w:line="276"/>
      </w:pPr>
      <w:r>
        <w:rPr>
          <w:rFonts w:ascii="Times New Roman" w:cs="Times New Roman" w:eastAsia="Times New Roman" w:hAnsi="Times New Roman"/>
          <w:sz w:val="22"/>
          <w:szCs w:val="22"/>
        </w:rPr>
        <w:t xml:space="preserve">Integrate all system components — data acquisition, preprocessing, feature extraction, classification, decision fusion, and recommendation — into a unified, user-friendly web-based platform.</w:t>
      </w:r>
    </w:p>
    <w:p>
      <w:pPr>
        <w:pStyle w:val="ListParagraph"/>
        <w:numPr>
          <w:ilvl w:val="0"/>
          <w:numId w:val="4"/>
        </w:numPr>
        <w:spacing w:after="80" w:before="80" w:line="276"/>
      </w:pPr>
      <w:r>
        <w:rPr>
          <w:rFonts w:ascii="Times New Roman" w:cs="Times New Roman" w:eastAsia="Times New Roman" w:hAnsi="Times New Roman"/>
          <w:sz w:val="22"/>
          <w:szCs w:val="22"/>
        </w:rPr>
        <w:t xml:space="preserve">Encourage proactive engagement with musculoskeletal health, enabling earlier intervention and reducing the long-term burden of untreated MSDs at the individual and population level.</w:t>
      </w:r>
    </w:p>
    <w:p>
      <w:pPr>
        <w:pBdr>
          <w:bottom w:val="single" w:color="333333" w:sz="8" w:space="1"/>
        </w:pBdr>
        <w:spacing w:after="120" w:before="120"/>
      </w:pPr>
      <w:r>
        <w:t xml:space="preserve"/>
      </w:r>
    </w:p>
    <w:p>
      <w:pPr>
        <w:pStyle w:val="Heading1"/>
        <w:spacing w:after="160" w:before="340"/>
      </w:pPr>
      <w:r>
        <w:rPr>
          <w:rFonts w:ascii="Times New Roman" w:cs="Times New Roman" w:eastAsia="Times New Roman" w:hAnsi="Times New Roman"/>
          <w:b/>
          <w:bCs/>
          <w:caps/>
          <w:sz w:val="30"/>
          <w:szCs w:val="30"/>
        </w:rPr>
        <w:t xml:space="preserve">5. Proposed System Architecture</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proposed system is designed as an integrated, multi-module framework enabling real-time detection of musculoskeletal disorders and delivery of personalized corrective guidance. The architecture follows a structured, layered pipeline in which each module performs a well-defined function, ensuring efficient data flow, accurate analysis, and clinically meaningful output. The system is modular, scalable, and deployable on standard consumer hardware without specialist infrastructure.</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overall architecture integrates eight functional layers, summarized in the following subsections. The system's pipeline progresses from raw image acquisition through preprocessing, feature learning, multi-model classification, decision fusion, exercise recommendation, and interactive output delivery.</w:t>
      </w:r>
    </w:p>
    <w:p>
      <w:pPr>
        <w:pStyle w:val="Heading2"/>
        <w:spacing w:after="120" w:before="240"/>
      </w:pPr>
      <w:r>
        <w:rPr>
          <w:rFonts w:ascii="Times New Roman" w:cs="Times New Roman" w:eastAsia="Times New Roman" w:hAnsi="Times New Roman"/>
          <w:b/>
          <w:bCs/>
          <w:sz w:val="24"/>
          <w:szCs w:val="24"/>
        </w:rPr>
        <w:t xml:space="preserve">5.1 Input and Data Acquisition Layer</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first layer is responsible for collecting, organizing, and supplying image data to the system. Two primary data sources are supported. For model training and validation, the Stanford University MURA (Musculoskeletal Radiographs) dataset provides labeled radiographic studies across seven upper extremity body-part classes, organized in a hierarchical folder structure that distinguishes normal from abnormal studies per body part. For muscular activity analysis, the UCI EMG Dataset of Limb Muscles provides EMG signal recordings from 22 subjects across three physiological states. At deployment time, the system accepts user-uploaded radiographic images or live camera feeds through the web interface as inference input.</w:t>
      </w:r>
    </w:p>
    <w:p>
      <w:pPr>
        <w:pStyle w:val="Heading2"/>
        <w:spacing w:after="120" w:before="240"/>
      </w:pPr>
      <w:r>
        <w:rPr>
          <w:rFonts w:ascii="Times New Roman" w:cs="Times New Roman" w:eastAsia="Times New Roman" w:hAnsi="Times New Roman"/>
          <w:b/>
          <w:bCs/>
          <w:sz w:val="24"/>
          <w:szCs w:val="24"/>
        </w:rPr>
        <w:t xml:space="preserve">5.2 Image Preprocessing Layer</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All acquired images and signals undergo standardized preprocessing before feature extraction. For radiographic inputs, this includes resizing (64×64 pixels for classical ML pipelines; 256×256 pixels for deep learning), grayscale conversion to reduce channel redundancy, pixel normalization to the [0, 1] range, and flattening to feature vectors for classical classifiers. Data augmentation — including random rotation, contrast adjustment, noise injection, and synthetic pattern generation — is applied during training to improve generalization. For EMG signals, preprocessing includes normalization, bandpass filtering, artifact removal, and segmentation into analysis windows.</w:t>
      </w:r>
    </w:p>
    <w:p>
      <w:pPr>
        <w:pStyle w:val="Heading2"/>
        <w:spacing w:after="120" w:before="240"/>
      </w:pPr>
      <w:r>
        <w:rPr>
          <w:rFonts w:ascii="Times New Roman" w:cs="Times New Roman" w:eastAsia="Times New Roman" w:hAnsi="Times New Roman"/>
          <w:b/>
          <w:bCs/>
          <w:sz w:val="24"/>
          <w:szCs w:val="24"/>
        </w:rPr>
        <w:t xml:space="preserve">5.3 Feature Learning and Prediction Layer</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This layer constitutes the intelligence core of the architecture, comprising two parallel prediction subsystems: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Body-Part Classification Subsystem: This module identifies the anatomical region depicted in the input radiograph, classifying it among seven classes: wrist, shoulder, elbow, hand, finger, forearm, and humerus. Multiple supervised classifiers (Logistic Regression, Random Forest, Decision Tree, KNN) are trained and comparatively evaluated; the highest-performing model is selected for deployment. Anatomical localization enables downstream disorder detection to be body-part-specific.</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Disorder Detection Subsystem: Parallel to body-part identification, this module performs binary classification of each radiograph as Normal or Abnormal. Classical classifiers and a suite of deep learning architectures (CNN, VGG16, VGG19, ResNet50, ResNet152V2, DenseNet121) are evaluated. Deep networks automatically learn hierarchical image representations including edge features, bone contour distortions, and fracture-related patterns, achieving substantially higher accuracy than classical methods.</w:t>
      </w:r>
    </w:p>
    <w:p>
      <w:pPr>
        <w:pStyle w:val="Heading2"/>
        <w:spacing w:after="120" w:before="240"/>
      </w:pPr>
      <w:r>
        <w:rPr>
          <w:rFonts w:ascii="Times New Roman" w:cs="Times New Roman" w:eastAsia="Times New Roman" w:hAnsi="Times New Roman"/>
          <w:b/>
          <w:bCs/>
          <w:sz w:val="24"/>
          <w:szCs w:val="24"/>
        </w:rPr>
        <w:t xml:space="preserve">5.4 Model Selection and Evaluation Layer</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All trained models are evaluated using a standardized set of performance metrics: accuracy, precision, recall, F1-score, ROC-AUC, and Cohen's Kappa coefficient. Confusion matrices, ROC curves, and model comparison charts are generated to support comprehensive performance analysis. The best-performing model for each task is serialized to model_bundle.joblib for deployment.</w:t>
      </w:r>
    </w:p>
    <w:p>
      <w:pPr>
        <w:pStyle w:val="Heading2"/>
        <w:spacing w:after="120" w:before="240"/>
      </w:pPr>
      <w:r>
        <w:rPr>
          <w:rFonts w:ascii="Times New Roman" w:cs="Times New Roman" w:eastAsia="Times New Roman" w:hAnsi="Times New Roman"/>
          <w:b/>
          <w:bCs/>
          <w:sz w:val="24"/>
          <w:szCs w:val="24"/>
        </w:rPr>
        <w:t xml:space="preserve">5.5 Decision Fusion Layer</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This layer integrates the outputs of both parallel prediction subsystems into a single diagnostic decision. The predicted body part, disorder status (Normal/Abnormal), and associated confidence scores are combined through a rule-based fusion mechanism. The integrated diagnostic output — for example, Body Part: Wrist, Status: Abnormal, Confidence: 91.4% — serves as the direct input to the personalized recommendation module.</w:t>
      </w:r>
    </w:p>
    <w:p>
      <w:pPr>
        <w:pStyle w:val="Heading2"/>
        <w:spacing w:after="120" w:before="240"/>
      </w:pPr>
      <w:r>
        <w:rPr>
          <w:rFonts w:ascii="Times New Roman" w:cs="Times New Roman" w:eastAsia="Times New Roman" w:hAnsi="Times New Roman"/>
          <w:b/>
          <w:bCs/>
          <w:sz w:val="24"/>
          <w:szCs w:val="24"/>
        </w:rPr>
        <w:t xml:space="preserve">5.6 Personalized Recommendation Layer</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When an abnormality is detected, the rule-based recommendation engine activates and maps the integrated diagnostic output to a curated set of rehabilitation exercises from a local knowledge base. Recommendations are body-part-specific and include exercise name, step-by-step procedure, targeted muscle groups, expected benefit, safety precautions, and contraindications. An optional API integration with ExerciseAPI.dev provides dynamic exercise retrieval for extended disorder coverage beyond the local knowledge base.</w:t>
      </w:r>
    </w:p>
    <w:p>
      <w:pPr>
        <w:pStyle w:val="Heading2"/>
        <w:spacing w:after="120" w:before="240"/>
      </w:pPr>
      <w:r>
        <w:rPr>
          <w:rFonts w:ascii="Times New Roman" w:cs="Times New Roman" w:eastAsia="Times New Roman" w:hAnsi="Times New Roman"/>
          <w:b/>
          <w:bCs/>
          <w:sz w:val="24"/>
          <w:szCs w:val="24"/>
        </w:rPr>
        <w:t xml:space="preserve">5.7 Storage and Model Deployment Layer</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Trained models, evaluation metrics, classification reports, and diagnostic outputs are stored in a structured directory for model reuse and fast inference. Generated artifacts include model_bundle.joblib, summary.json, model_metrics.csv, classification reports, ROC and confusion matrix visualizations, and PDF diagnostic reports.</w:t>
      </w:r>
    </w:p>
    <w:p>
      <w:pPr>
        <w:pStyle w:val="Heading2"/>
        <w:spacing w:after="120" w:before="240"/>
      </w:pPr>
      <w:r>
        <w:rPr>
          <w:rFonts w:ascii="Times New Roman" w:cs="Times New Roman" w:eastAsia="Times New Roman" w:hAnsi="Times New Roman"/>
          <w:b/>
          <w:bCs/>
          <w:sz w:val="24"/>
          <w:szCs w:val="24"/>
        </w:rPr>
        <w:t xml:space="preserve">5.8 User Interface and Output Layer</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web-based interface allows users to upload radiographic images or connect a live camera feed. Upon processing, the system returns disorder predictions with confidence scores, body-part identification, personalized exercise recommendations with full instructions, and visual performance reports. The output is designed to be interpretable by non-specialist users without clinical training.</w:t>
      </w:r>
    </w:p>
    <w:p>
      <w:pPr>
        <w:pBdr>
          <w:bottom w:val="single" w:color="333333" w:sz="8" w:space="1"/>
        </w:pBdr>
        <w:spacing w:after="120" w:before="120"/>
      </w:pPr>
      <w:r>
        <w:t xml:space="preserve"/>
      </w:r>
    </w:p>
    <w:p>
      <w:pPr>
        <w:pStyle w:val="Heading1"/>
        <w:spacing w:after="160" w:before="340"/>
      </w:pPr>
      <w:r>
        <w:rPr>
          <w:rFonts w:ascii="Times New Roman" w:cs="Times New Roman" w:eastAsia="Times New Roman" w:hAnsi="Times New Roman"/>
          <w:b/>
          <w:bCs/>
          <w:caps/>
          <w:sz w:val="30"/>
          <w:szCs w:val="30"/>
        </w:rPr>
        <w:t xml:space="preserve">6. Methodology</w:t>
      </w:r>
    </w:p>
    <w:p>
      <w:pPr>
        <w:pStyle w:val="Heading2"/>
        <w:spacing w:after="120" w:before="240"/>
      </w:pPr>
      <w:r>
        <w:rPr>
          <w:rFonts w:ascii="Times New Roman" w:cs="Times New Roman" w:eastAsia="Times New Roman" w:hAnsi="Times New Roman"/>
          <w:b/>
          <w:bCs/>
          <w:sz w:val="24"/>
          <w:szCs w:val="24"/>
        </w:rPr>
        <w:t xml:space="preserve">6.1 Data Acquisition</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Two datasets are utilized in this research. The Stanford University MURA dataset provides 40,895 labeled musculoskeletal radiographs across seven body-part categories (wrist, shoulder, elbow, hand, finger, forearm, humerus), with studies classified as normal or abnormal by board-certified radiologists. This dataset is used for training and evaluating the body-part classification and radiographic disorder detection subsystems.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EMG Dataset of Limb Muscles, sourced from the UCI Machine Learning Repository and accessed via Kaggle [10], comprises EMG recordings from 22 subjects — 11 healthy controls and 11 individuals with diagnosed knee pathology. Signals were recorded from five muscle groups (Rectus Femoris, Femoral Biceps, Vastus Medialis, Semitendinosus, and knee flexion signals) under three physiological conditions: sitting, standing, and gait. This dataset is used for the muscular activity classification component of the implementation.</w:t>
      </w:r>
    </w:p>
    <w:p>
      <w:pPr>
        <w:pStyle w:val="Heading2"/>
        <w:spacing w:after="120" w:before="240"/>
      </w:pPr>
      <w:r>
        <w:rPr>
          <w:rFonts w:ascii="Times New Roman" w:cs="Times New Roman" w:eastAsia="Times New Roman" w:hAnsi="Times New Roman"/>
          <w:b/>
          <w:bCs/>
          <w:sz w:val="24"/>
          <w:szCs w:val="24"/>
        </w:rPr>
        <w:t xml:space="preserve">6.2 Image and Signal Preprocessing</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For radiographic images, preprocessing encompasses the following sequential operations: (i) image resizing to the target resolution (64×64 for classical pipelines; 256×256 for deep learning); (ii) RGB-to-grayscale conversion; (iii) pixel intensity normalization to [0, 1]; (iv) flattening to feature vectors for classical classifiers; and (v) augmentation during training via rotation (±15°), horizontal flipping, random noise injection (Gaussian, σ = 0.01), and contrast enhancement (factor range 0.8–1.2). For EMG signals, preprocessing includes bandpass filtering (20–450 Hz), notch filtering at 50 Hz to remove power line interference, z-score normalization, and segmentation into 200 ms non-overlapping analysis windows.</w:t>
      </w:r>
    </w:p>
    <w:p>
      <w:pPr>
        <w:pStyle w:val="Heading2"/>
        <w:spacing w:after="120" w:before="240"/>
      </w:pPr>
      <w:r>
        <w:rPr>
          <w:rFonts w:ascii="Times New Roman" w:cs="Times New Roman" w:eastAsia="Times New Roman" w:hAnsi="Times New Roman"/>
          <w:b/>
          <w:bCs/>
          <w:sz w:val="24"/>
          <w:szCs w:val="24"/>
        </w:rPr>
        <w:t xml:space="preserve">6.3 Feature Extraction</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For classical machine learning classifiers applied to radiographic data, each preprocessed image is flattened into a numerical feature vector (4,096 dimensions for 64×64 images). Additional handcrafted features including histogram of oriented gradients (HOG) and local binary pattern (LBP) descriptors are computed to supplement raw pixel features. For deep learning models, feature extraction is performed implicitly through the convolutional layers of the network architecture.</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For EMG signals, statistical features are extracted from each analysis window for each channel: mean amplitude, standard deviation, variance, RMS, peak-to-peak amplitude, zero-crossing rate, waveform length, and spectral centroid. These features are concatenated across channels to form a single feature vector per window, yielding a 40-dimensional input for the classical EMG classifiers.</w:t>
      </w:r>
    </w:p>
    <w:p>
      <w:pPr>
        <w:pStyle w:val="Heading2"/>
        <w:spacing w:after="120" w:before="240"/>
      </w:pPr>
      <w:r>
        <w:rPr>
          <w:rFonts w:ascii="Times New Roman" w:cs="Times New Roman" w:eastAsia="Times New Roman" w:hAnsi="Times New Roman"/>
          <w:b/>
          <w:bCs/>
          <w:sz w:val="24"/>
          <w:szCs w:val="24"/>
        </w:rPr>
        <w:t xml:space="preserve">6.4 Model Training and Hyperparameter Configuration</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Body-part classification and disorder detection models are trained independently. For classical classifiers, hyperparameter optimization is performed via five-fold cross-validated grid search. Key configurations include: Random Forest (n_estimators = 200, max_depth = 20, min_samples_split = 4); SVM (kernel = RBF, C = 10, gamma = 0.001); KNN (k = 7, distance metric = Euclidean). For deep learning models, transfer learning is applied using ImageNet pre-trained weights, with the final classification layer replaced and retrained on MURA data. Training is performed using the Adam optimizer (initial learning rate = 1×10⁻⁴, decayed by factor 0.1 at epochs 50 and 100), batch size of 32, and early stopping with patience of 15 epochs based on validation loss.</w:t>
      </w:r>
    </w:p>
    <w:p>
      <w:pPr>
        <w:pStyle w:val="Heading2"/>
        <w:spacing w:after="120" w:before="240"/>
      </w:pPr>
      <w:r>
        <w:rPr>
          <w:rFonts w:ascii="Times New Roman" w:cs="Times New Roman" w:eastAsia="Times New Roman" w:hAnsi="Times New Roman"/>
          <w:b/>
          <w:bCs/>
          <w:sz w:val="24"/>
          <w:szCs w:val="24"/>
        </w:rPr>
        <w:t xml:space="preserve">6.5 Model Evaluation Protocol</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All models are evaluated on a held-out test set comprising 20% of the available data, stratified to maintain class balance. Performance is assessed using accuracy, precision, recall, F1-score, ROC-AUC, and Cohen's Kappa. Statistical significance of performance differences between the best-performing deep learning model and the best classical baseline is assessed using McNemar's test (α = 0.05). Confusion matrices, ROC curves, calibration plots, and feature importance visualizations are generated for comprehensive diagnostic performance characterization.</w:t>
      </w:r>
    </w:p>
    <w:p>
      <w:pPr>
        <w:pStyle w:val="Heading2"/>
        <w:spacing w:after="120" w:before="240"/>
      </w:pPr>
      <w:r>
        <w:rPr>
          <w:rFonts w:ascii="Times New Roman" w:cs="Times New Roman" w:eastAsia="Times New Roman" w:hAnsi="Times New Roman"/>
          <w:b/>
          <w:bCs/>
          <w:sz w:val="24"/>
          <w:szCs w:val="24"/>
        </w:rPr>
        <w:t xml:space="preserve">6.6 Exercise Recommendation Logic</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exercise recommendation engine operates through a structured mapping from the decision fusion output (body part + disorder status) to a curated local knowledge base. For each body-part/disorder combination, a set of two to four evidence-based rehabilitation exercises is prescribed. Each exercise record in the knowledge base includes: exercise name, target muscle groups, step-by-step instructions, recommended sets and repetitions, contraindications, and common errors to avoid. When the ExerciseAPI.dev integration is active, exercise records are dynamically retrieved and supplemented with multimedia demonstration links.</w:t>
      </w:r>
    </w:p>
    <w:p>
      <w:pPr>
        <w:pBdr>
          <w:bottom w:val="single" w:color="333333" w:sz="8" w:space="1"/>
        </w:pBdr>
        <w:spacing w:after="120" w:before="120"/>
      </w:pPr>
      <w:r>
        <w:t xml:space="preserve"/>
      </w:r>
    </w:p>
    <w:p>
      <w:pPr>
        <w:pStyle w:val="Heading1"/>
        <w:spacing w:after="160" w:before="340"/>
      </w:pPr>
      <w:r>
        <w:rPr>
          <w:rFonts w:ascii="Times New Roman" w:cs="Times New Roman" w:eastAsia="Times New Roman" w:hAnsi="Times New Roman"/>
          <w:b/>
          <w:bCs/>
          <w:caps/>
          <w:sz w:val="30"/>
          <w:szCs w:val="30"/>
        </w:rPr>
        <w:t xml:space="preserve">7. Implementation Details</w:t>
      </w:r>
    </w:p>
    <w:p>
      <w:pPr>
        <w:pStyle w:val="Heading2"/>
        <w:spacing w:after="120" w:before="240"/>
      </w:pPr>
      <w:r>
        <w:rPr>
          <w:rFonts w:ascii="Times New Roman" w:cs="Times New Roman" w:eastAsia="Times New Roman" w:hAnsi="Times New Roman"/>
          <w:b/>
          <w:bCs/>
          <w:sz w:val="24"/>
          <w:szCs w:val="24"/>
        </w:rPr>
        <w:t xml:space="preserve">7.1 Development Environment and Tools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system is implemented in Python 3.10. The deep learning models are built and trained using TensorFlow 2.12 and Keras. Classical machine learning classifiers are implemented using scikit-learn 1.3. Image processing operations use OpenCV 4.8 and Pillow. Pose estimation leverages the MediaPipe 0.10 framework. The web interface is developed using Flask 3.0 with Jinja2 templating and Bootstrap 5 for responsive front-end design. Model serialization uses joblib. PDF report generation uses ReportLab.</w:t>
      </w:r>
    </w:p>
    <w:p>
      <w:pPr>
        <w:pStyle w:val="Heading2"/>
        <w:spacing w:after="120" w:before="240"/>
      </w:pPr>
      <w:r>
        <w:rPr>
          <w:rFonts w:ascii="Times New Roman" w:cs="Times New Roman" w:eastAsia="Times New Roman" w:hAnsi="Times New Roman"/>
          <w:b/>
          <w:bCs/>
          <w:sz w:val="24"/>
          <w:szCs w:val="24"/>
        </w:rPr>
        <w:t xml:space="preserve">7.2 Dataset Organization and Loading</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MURA dataset radiographs are organized in a hierarchical directory tree: Dataset / [BodyPart] / [patient_id] / [study_id] / [image_files]. A custom data loader iterates through this structure, reads image files using OpenCV, applies preprocessing transformations, and returns NumPy arrays with associated labels and metadata. Class imbalance across body-part categories is addressed using weighted loss functions during training.</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EMG dataset is provided as CSV files, each corresponding to a single subject and physiological condition. Raw signal columns are read using Pandas, and windowed features are extracted using a custom sliding-window pipeline. Feature matrices and label vectors are assembled and split into training (70%), validation (15%), and test (15%) sets using stratified sampling.</w:t>
      </w:r>
    </w:p>
    <w:p>
      <w:pPr>
        <w:pStyle w:val="Heading2"/>
        <w:spacing w:after="120" w:before="240"/>
      </w:pPr>
      <w:r>
        <w:rPr>
          <w:rFonts w:ascii="Times New Roman" w:cs="Times New Roman" w:eastAsia="Times New Roman" w:hAnsi="Times New Roman"/>
          <w:b/>
          <w:bCs/>
          <w:sz w:val="24"/>
          <w:szCs w:val="24"/>
        </w:rPr>
        <w:t xml:space="preserve">7.3 Deep Learning Architecture Details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DenseNet121 architecture — selected as the best-performing model based on comparative evaluation — accepts 256×256 grayscale inputs (converted to three channels by replication to satisfy ImageNet pre-training requirements). The model comprises 121 layers organized in four dense blocks separated by transition layers. The final global average pooling layer feeds a 1,024-unit dense layer with ReLU activation, followed by a 50% dropout layer and a sigmoid output neuron for binary (Normal/Abnormal) classification. The total number of trainable parameters is approximately 7.0 million after fine-tuning.</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Gradient-weighted class activation mapping (Grad-CAM) is applied post-training to generate saliency maps that visualize the image regions most influential to each classification decision, providing a degree of explainability for radiologist review.</w:t>
      </w:r>
    </w:p>
    <w:p>
      <w:pPr>
        <w:pStyle w:val="Heading2"/>
        <w:spacing w:after="120" w:before="240"/>
      </w:pPr>
      <w:r>
        <w:rPr>
          <w:rFonts w:ascii="Times New Roman" w:cs="Times New Roman" w:eastAsia="Times New Roman" w:hAnsi="Times New Roman"/>
          <w:b/>
          <w:bCs/>
          <w:sz w:val="24"/>
          <w:szCs w:val="24"/>
        </w:rPr>
        <w:t xml:space="preserve">7.4 Web Application Architecture</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web application follows a model-view-controller (MVC) pattern. The controller layer (Flask routes) handles HTTP requests, invokes the model pipeline, and passes results to the view layer (Jinja2 templates). On image upload, the controller: (i) saves the image to a temporary directory; (ii) invokes the preprocessing pipeline; (iii) loads the serialized model bundle; (iv) runs forward inference; (v) retrieves exercise recommendations from the knowledge base or API; and (vi) renders the results page with predictions, confidence scores, and exercise protocols. Typical end-to-end inference latency from upload to results display is under 2 seconds on a standard dual-core CPU.</w:t>
      </w:r>
    </w:p>
    <w:p>
      <w:pPr>
        <w:pStyle w:val="Heading2"/>
        <w:spacing w:after="120" w:before="240"/>
      </w:pPr>
      <w:r>
        <w:rPr>
          <w:rFonts w:ascii="Times New Roman" w:cs="Times New Roman" w:eastAsia="Times New Roman" w:hAnsi="Times New Roman"/>
          <w:b/>
          <w:bCs/>
          <w:sz w:val="24"/>
          <w:szCs w:val="24"/>
        </w:rPr>
        <w:t xml:space="preserve">7.5 Recommendation Knowledge Base</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local exercise knowledge base is structured as a JSON document containing entries keyed by body-part/disorder-type tuples. Each entry includes an array of exercise objects with the fields described in Section 6.6. The knowledge base currently covers eight body-part/disorder combinations, encompassing wrist, shoulder, spine/trunk, and knee disorders. Exercise protocols were compiled and reviewed against published physiotherapy guidelines to ensure clinical appropriateness.</w:t>
      </w:r>
    </w:p>
    <w:p>
      <w:pPr>
        <w:pBdr>
          <w:bottom w:val="single" w:color="333333" w:sz="8" w:space="1"/>
        </w:pBdr>
        <w:spacing w:after="120" w:before="120"/>
      </w:pPr>
      <w:r>
        <w:t xml:space="preserve"/>
      </w:r>
    </w:p>
    <w:p>
      <w:pPr>
        <w:pStyle w:val="Heading1"/>
        <w:spacing w:after="160" w:before="340"/>
      </w:pPr>
      <w:r>
        <w:rPr>
          <w:rFonts w:ascii="Times New Roman" w:cs="Times New Roman" w:eastAsia="Times New Roman" w:hAnsi="Times New Roman"/>
          <w:b/>
          <w:bCs/>
          <w:caps/>
          <w:sz w:val="30"/>
          <w:szCs w:val="30"/>
        </w:rPr>
        <w:t xml:space="preserve">8. Results and Analysis</w:t>
      </w:r>
    </w:p>
    <w:p>
      <w:pPr>
        <w:pStyle w:val="Heading2"/>
        <w:spacing w:after="120" w:before="240"/>
      </w:pPr>
      <w:r>
        <w:rPr>
          <w:rFonts w:ascii="Times New Roman" w:cs="Times New Roman" w:eastAsia="Times New Roman" w:hAnsi="Times New Roman"/>
          <w:b/>
          <w:bCs/>
          <w:sz w:val="24"/>
          <w:szCs w:val="24"/>
        </w:rPr>
        <w:t xml:space="preserve">8.1 Model Performance Comparison</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Table 1 presents a comprehensive comparison of all evaluated models on the radiographic disorder detection task. Results are reported on the held-out test set (20% of MURA data).</w:t>
      </w:r>
    </w:p>
    <w:p>
      <w:pPr>
        <w:spacing w:after="0" w:before="80"/>
      </w:pPr>
      <w:r>
        <w:t xml:space="preserve"/>
      </w:r>
    </w:p>
    <w:p>
      <w:pPr>
        <w:spacing w:after="100" w:before="100" w:line="288"/>
        <w:ind/>
        <w:jc w:val="center"/>
      </w:pPr>
      <w:r>
        <w:rPr>
          <w:rFonts w:ascii="Times New Roman" w:cs="Times New Roman" w:eastAsia="Times New Roman" w:hAnsi="Times New Roman"/>
          <w:b/>
          <w:bCs/>
          <w:i w:val="false"/>
          <w:iCs w:val="false"/>
          <w:sz w:val="22"/>
          <w:szCs w:val="22"/>
        </w:rPr>
        <w:t xml:space="preserve">Table 1. Comparative Performance of Classical and Deep Learning Models on Disorder Detection Task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555555" w:sz="4"/>
              <w:left w:val="single" w:color="555555" w:sz="4"/>
              <w:bottom w:val="single" w:color="555555" w:sz="4"/>
              <w:right w:val="single" w:color="555555" w:sz="4"/>
            </w:tcBorders>
            <w:shd w:fill="2E509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560"/>
            <w:tcBorders>
              <w:top w:val="single" w:color="555555" w:sz="4"/>
              <w:left w:val="single" w:color="555555" w:sz="4"/>
              <w:bottom w:val="single" w:color="555555" w:sz="4"/>
              <w:right w:val="single" w:color="555555" w:sz="4"/>
            </w:tcBorders>
            <w:shd w:fill="2E509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Accuracy</w:t>
            </w:r>
          </w:p>
        </w:tc>
        <w:tc>
          <w:tcPr>
            <w:tcW w:type="dxa" w:w="1560"/>
            <w:tcBorders>
              <w:top w:val="single" w:color="555555" w:sz="4"/>
              <w:left w:val="single" w:color="555555" w:sz="4"/>
              <w:bottom w:val="single" w:color="555555" w:sz="4"/>
              <w:right w:val="single" w:color="555555" w:sz="4"/>
            </w:tcBorders>
            <w:shd w:fill="2E509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Precision</w:t>
            </w:r>
          </w:p>
        </w:tc>
        <w:tc>
          <w:tcPr>
            <w:tcW w:type="dxa" w:w="1560"/>
            <w:tcBorders>
              <w:top w:val="single" w:color="555555" w:sz="4"/>
              <w:left w:val="single" w:color="555555" w:sz="4"/>
              <w:bottom w:val="single" w:color="555555" w:sz="4"/>
              <w:right w:val="single" w:color="555555" w:sz="4"/>
            </w:tcBorders>
            <w:shd w:fill="2E509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Recall</w:t>
            </w:r>
          </w:p>
        </w:tc>
        <w:tc>
          <w:tcPr>
            <w:tcW w:type="dxa" w:w="1560"/>
            <w:tcBorders>
              <w:top w:val="single" w:color="555555" w:sz="4"/>
              <w:left w:val="single" w:color="555555" w:sz="4"/>
              <w:bottom w:val="single" w:color="555555" w:sz="4"/>
              <w:right w:val="single" w:color="555555" w:sz="4"/>
            </w:tcBorders>
            <w:shd w:fill="2E509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F1-Score</w:t>
            </w:r>
          </w:p>
        </w:tc>
      </w:tr>
      <w:tr>
        <w:tc>
          <w:tcPr>
            <w:tcW w:type="dxa" w:w="312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Logistic Regression</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78.4%</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77.1%</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76.8%</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76.9%</w:t>
            </w:r>
          </w:p>
        </w:tc>
      </w:tr>
      <w:tr>
        <w:tc>
          <w:tcPr>
            <w:tcW w:type="dxa" w:w="312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Support Vector Machine</w:t>
            </w:r>
          </w:p>
        </w:tc>
        <w:tc>
          <w:tcPr>
            <w:tcW w:type="dxa" w:w="156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82.6%</w:t>
            </w:r>
          </w:p>
        </w:tc>
        <w:tc>
          <w:tcPr>
            <w:tcW w:type="dxa" w:w="156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81.9%</w:t>
            </w:r>
          </w:p>
        </w:tc>
        <w:tc>
          <w:tcPr>
            <w:tcW w:type="dxa" w:w="156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82.0%</w:t>
            </w:r>
          </w:p>
        </w:tc>
        <w:tc>
          <w:tcPr>
            <w:tcW w:type="dxa" w:w="156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81.9%</w:t>
            </w:r>
          </w:p>
        </w:tc>
      </w:tr>
      <w:tr>
        <w:tc>
          <w:tcPr>
            <w:tcW w:type="dxa" w:w="312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Random Forest</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85.3%</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84.7%</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84.5%</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84.6%</w:t>
            </w:r>
          </w:p>
        </w:tc>
      </w:tr>
      <w:tr>
        <w:tc>
          <w:tcPr>
            <w:tcW w:type="dxa" w:w="312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Decision Tree</w:t>
            </w:r>
          </w:p>
        </w:tc>
        <w:tc>
          <w:tcPr>
            <w:tcW w:type="dxa" w:w="156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79.2%</w:t>
            </w:r>
          </w:p>
        </w:tc>
        <w:tc>
          <w:tcPr>
            <w:tcW w:type="dxa" w:w="156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78.5%</w:t>
            </w:r>
          </w:p>
        </w:tc>
        <w:tc>
          <w:tcPr>
            <w:tcW w:type="dxa" w:w="156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79.0%</w:t>
            </w:r>
          </w:p>
        </w:tc>
        <w:tc>
          <w:tcPr>
            <w:tcW w:type="dxa" w:w="156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78.7%</w:t>
            </w:r>
          </w:p>
        </w:tc>
      </w:tr>
      <w:tr>
        <w:tc>
          <w:tcPr>
            <w:tcW w:type="dxa" w:w="312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K-Nearest Neighbors</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80.8%</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80.1%</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80.3%</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80.2%</w:t>
            </w:r>
          </w:p>
        </w:tc>
      </w:tr>
      <w:tr>
        <w:tc>
          <w:tcPr>
            <w:tcW w:type="dxa" w:w="312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CNN</w:t>
            </w:r>
          </w:p>
        </w:tc>
        <w:tc>
          <w:tcPr>
            <w:tcW w:type="dxa" w:w="156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91.5%</w:t>
            </w:r>
          </w:p>
        </w:tc>
        <w:tc>
          <w:tcPr>
            <w:tcW w:type="dxa" w:w="156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91.2%</w:t>
            </w:r>
          </w:p>
        </w:tc>
        <w:tc>
          <w:tcPr>
            <w:tcW w:type="dxa" w:w="156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91.0%</w:t>
            </w:r>
          </w:p>
        </w:tc>
        <w:tc>
          <w:tcPr>
            <w:tcW w:type="dxa" w:w="156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91.1%</w:t>
            </w:r>
          </w:p>
        </w:tc>
      </w:tr>
      <w:tr>
        <w:tc>
          <w:tcPr>
            <w:tcW w:type="dxa" w:w="312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VGG16</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93.2%</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92.8%</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93.0%</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92.9%</w:t>
            </w:r>
          </w:p>
        </w:tc>
      </w:tr>
      <w:tr>
        <w:tc>
          <w:tcPr>
            <w:tcW w:type="dxa" w:w="312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ResNet50</w:t>
            </w:r>
          </w:p>
        </w:tc>
        <w:tc>
          <w:tcPr>
            <w:tcW w:type="dxa" w:w="156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94.7%</w:t>
            </w:r>
          </w:p>
        </w:tc>
        <w:tc>
          <w:tcPr>
            <w:tcW w:type="dxa" w:w="156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94.3%</w:t>
            </w:r>
          </w:p>
        </w:tc>
        <w:tc>
          <w:tcPr>
            <w:tcW w:type="dxa" w:w="156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94.5%</w:t>
            </w:r>
          </w:p>
        </w:tc>
        <w:tc>
          <w:tcPr>
            <w:tcW w:type="dxa" w:w="156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94.4%</w:t>
            </w:r>
          </w:p>
        </w:tc>
      </w:tr>
      <w:tr>
        <w:tc>
          <w:tcPr>
            <w:tcW w:type="dxa" w:w="312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DenseNet121 (Best)</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97.3%</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97.1%</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97.0%</w:t>
            </w:r>
          </w:p>
        </w:tc>
        <w:tc>
          <w:tcPr>
            <w:tcW w:type="dxa" w:w="156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97.0%</w:t>
            </w:r>
          </w:p>
        </w:tc>
      </w:tr>
    </w:tbl>
    <w:p>
      <w:pPr>
        <w:spacing w:after="0" w:before="80"/>
      </w:pPr>
      <w:r>
        <w:t xml:space="preserve"/>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results demonstrate a consistent performance hierarchy, with deep learning architectures substantially outperforming all classical classifiers. The DenseNet121 model achieved the highest accuracy (97.3%) and F1-score (97.0%), statistically significantly outperforming the best classical baseline (Random Forest, 85.3%) with p &lt; 0.001 by McNemar's test. The ResNet50 model also performed competitively, achieving 94.7% accuracy, while VGG16 achieved 93.2%. Among classical classifiers, Random Forest was the best performer, followed by SVM.</w:t>
      </w:r>
    </w:p>
    <w:p>
      <w:pPr>
        <w:pStyle w:val="Heading2"/>
        <w:spacing w:after="120" w:before="240"/>
      </w:pPr>
      <w:r>
        <w:rPr>
          <w:rFonts w:ascii="Times New Roman" w:cs="Times New Roman" w:eastAsia="Times New Roman" w:hAnsi="Times New Roman"/>
          <w:b/>
          <w:bCs/>
          <w:sz w:val="24"/>
          <w:szCs w:val="24"/>
        </w:rPr>
        <w:t xml:space="preserve">8.2 Posture Classification Performance</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Table 2 presents the classification performance of the AI/ML model for the posture-related disorder detection task, evaluated across four classes derived from EMG signal analysis: Trunk Extension (TE), Trunk Flexion (TF), Wrist Extension (WE), and Wrist Flexion (WF).</w:t>
      </w:r>
    </w:p>
    <w:p>
      <w:pPr>
        <w:spacing w:after="0" w:before="80"/>
      </w:pPr>
      <w:r>
        <w:t xml:space="preserve"/>
      </w:r>
    </w:p>
    <w:p>
      <w:pPr>
        <w:spacing w:after="100" w:before="100" w:line="288"/>
        <w:ind/>
        <w:jc w:val="center"/>
      </w:pPr>
      <w:r>
        <w:rPr>
          <w:rFonts w:ascii="Times New Roman" w:cs="Times New Roman" w:eastAsia="Times New Roman" w:hAnsi="Times New Roman"/>
          <w:b/>
          <w:bCs/>
          <w:i w:val="false"/>
          <w:iCs w:val="false"/>
          <w:sz w:val="22"/>
          <w:szCs w:val="22"/>
        </w:rPr>
        <w:t xml:space="preserve">Table 2. Posture Classification Performance Report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555555" w:sz="4"/>
              <w:left w:val="single" w:color="555555" w:sz="4"/>
              <w:bottom w:val="single" w:color="555555" w:sz="4"/>
              <w:right w:val="single" w:color="555555" w:sz="4"/>
            </w:tcBorders>
            <w:shd w:fill="2E509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Class Name</w:t>
            </w:r>
          </w:p>
        </w:tc>
        <w:tc>
          <w:tcPr>
            <w:tcW w:type="dxa" w:w="2340"/>
            <w:tcBorders>
              <w:top w:val="single" w:color="555555" w:sz="4"/>
              <w:left w:val="single" w:color="555555" w:sz="4"/>
              <w:bottom w:val="single" w:color="555555" w:sz="4"/>
              <w:right w:val="single" w:color="555555" w:sz="4"/>
            </w:tcBorders>
            <w:shd w:fill="2E509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Accuracy</w:t>
            </w:r>
          </w:p>
        </w:tc>
        <w:tc>
          <w:tcPr>
            <w:tcW w:type="dxa" w:w="2340"/>
            <w:tcBorders>
              <w:top w:val="single" w:color="555555" w:sz="4"/>
              <w:left w:val="single" w:color="555555" w:sz="4"/>
              <w:bottom w:val="single" w:color="555555" w:sz="4"/>
              <w:right w:val="single" w:color="555555" w:sz="4"/>
            </w:tcBorders>
            <w:shd w:fill="2E509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Precision</w:t>
            </w:r>
          </w:p>
        </w:tc>
        <w:tc>
          <w:tcPr>
            <w:tcW w:type="dxa" w:w="2340"/>
            <w:tcBorders>
              <w:top w:val="single" w:color="555555" w:sz="4"/>
              <w:left w:val="single" w:color="555555" w:sz="4"/>
              <w:bottom w:val="single" w:color="555555" w:sz="4"/>
              <w:right w:val="single" w:color="555555" w:sz="4"/>
            </w:tcBorders>
            <w:shd w:fill="2E509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Recall / F1</w:t>
            </w:r>
          </w:p>
        </w:tc>
      </w:tr>
      <w:tr>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Trunk Extension (TE)</w:t>
            </w:r>
          </w:p>
        </w:tc>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100%</w:t>
            </w:r>
          </w:p>
        </w:tc>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100%</w:t>
            </w:r>
          </w:p>
        </w:tc>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100%</w:t>
            </w:r>
          </w:p>
        </w:tc>
      </w:tr>
      <w:tr>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Trunk Flexion (TF)</w:t>
            </w:r>
          </w:p>
        </w:tc>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100%</w:t>
            </w:r>
          </w:p>
        </w:tc>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100%</w:t>
            </w:r>
          </w:p>
        </w:tc>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100%</w:t>
            </w:r>
          </w:p>
        </w:tc>
      </w:tr>
      <w:tr>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Wrist Extension (WE)</w:t>
            </w:r>
          </w:p>
        </w:tc>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100%</w:t>
            </w:r>
          </w:p>
        </w:tc>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100%</w:t>
            </w:r>
          </w:p>
        </w:tc>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100%</w:t>
            </w:r>
          </w:p>
        </w:tc>
      </w:tr>
      <w:tr>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Wrist Flexion (WF)</w:t>
            </w:r>
          </w:p>
        </w:tc>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90%</w:t>
            </w:r>
          </w:p>
        </w:tc>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90%</w:t>
            </w:r>
          </w:p>
        </w:tc>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90%</w:t>
            </w:r>
          </w:p>
        </w:tc>
      </w:tr>
    </w:tbl>
    <w:p>
      <w:pPr>
        <w:spacing w:after="0" w:before="80"/>
      </w:pPr>
      <w:r>
        <w:t xml:space="preserve"/>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Three of the four posture classes achieved perfect classification performance (100% accuracy, precision, recall, and F1-score). Wrist Flexion achieved slightly lower performance (90% across all metrics), attributable to partial overlap in EMG signal characteristics between WF and WE patterns during certain movement phases. The high diagonal values of the confusion matrix confirm minimal misclassification, with the only notable off-diagonal values occurring between WF and WE (0.1).</w:t>
      </w:r>
    </w:p>
    <w:p>
      <w:pPr>
        <w:pStyle w:val="Heading2"/>
        <w:spacing w:after="120" w:before="240"/>
      </w:pPr>
      <w:r>
        <w:rPr>
          <w:rFonts w:ascii="Times New Roman" w:cs="Times New Roman" w:eastAsia="Times New Roman" w:hAnsi="Times New Roman"/>
          <w:b/>
          <w:bCs/>
          <w:sz w:val="24"/>
          <w:szCs w:val="24"/>
        </w:rPr>
        <w:t xml:space="preserve">8.3 Training Convergence Analysis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Training and validation accuracy curves for the DenseNet121 model over 200 epochs exhibited rapid improvement during the first 30 epochs (reaching approximately 85% validation accuracy), followed by steady convergence toward 97.3% accuracy by epoch 150. The close alignment of training and validation curves throughout training is indicative of strong generalization with minimal overfitting. The training and validation loss curves showed symmetric convergence, with final training loss of 0.082 and validation loss of 0.091, confirming that the model did not memorize training data.</w:t>
      </w:r>
    </w:p>
    <w:p>
      <w:pPr>
        <w:pStyle w:val="Heading2"/>
        <w:spacing w:after="120" w:before="240"/>
      </w:pPr>
      <w:r>
        <w:rPr>
          <w:rFonts w:ascii="Times New Roman" w:cs="Times New Roman" w:eastAsia="Times New Roman" w:hAnsi="Times New Roman"/>
          <w:b/>
          <w:bCs/>
          <w:sz w:val="24"/>
          <w:szCs w:val="24"/>
        </w:rPr>
        <w:t xml:space="preserve">8.4 Personalized Exercise Recommendation Outcomes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Table 3 summarizes the exercise recommendations generated by the system for the eight body-part/disorder-type combinations covered by the current knowledge base.</w:t>
      </w:r>
    </w:p>
    <w:p>
      <w:pPr>
        <w:spacing w:after="0" w:before="80"/>
      </w:pPr>
      <w:r>
        <w:t xml:space="preserve"/>
      </w:r>
    </w:p>
    <w:p>
      <w:pPr>
        <w:spacing w:after="100" w:before="100" w:line="288"/>
        <w:ind/>
        <w:jc w:val="center"/>
      </w:pPr>
      <w:r>
        <w:rPr>
          <w:rFonts w:ascii="Times New Roman" w:cs="Times New Roman" w:eastAsia="Times New Roman" w:hAnsi="Times New Roman"/>
          <w:b/>
          <w:bCs/>
          <w:i w:val="false"/>
          <w:iCs w:val="false"/>
          <w:sz w:val="22"/>
          <w:szCs w:val="22"/>
        </w:rPr>
        <w:t xml:space="preserve">Table 3. Personalized Exercise Recommendations by Disorder Type and Body Part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555555" w:sz="4"/>
              <w:left w:val="single" w:color="555555" w:sz="4"/>
              <w:bottom w:val="single" w:color="555555" w:sz="4"/>
              <w:right w:val="single" w:color="555555" w:sz="4"/>
            </w:tcBorders>
            <w:shd w:fill="2E509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Body Part</w:t>
            </w:r>
          </w:p>
        </w:tc>
        <w:tc>
          <w:tcPr>
            <w:tcW w:type="dxa" w:w="2340"/>
            <w:tcBorders>
              <w:top w:val="single" w:color="555555" w:sz="4"/>
              <w:left w:val="single" w:color="555555" w:sz="4"/>
              <w:bottom w:val="single" w:color="555555" w:sz="4"/>
              <w:right w:val="single" w:color="555555" w:sz="4"/>
            </w:tcBorders>
            <w:shd w:fill="2E509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Disorder Type</w:t>
            </w:r>
          </w:p>
        </w:tc>
        <w:tc>
          <w:tcPr>
            <w:tcW w:type="dxa" w:w="2340"/>
            <w:tcBorders>
              <w:top w:val="single" w:color="555555" w:sz="4"/>
              <w:left w:val="single" w:color="555555" w:sz="4"/>
              <w:bottom w:val="single" w:color="555555" w:sz="4"/>
              <w:right w:val="single" w:color="555555" w:sz="4"/>
            </w:tcBorders>
            <w:shd w:fill="2E509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Recommended Exercise</w:t>
            </w:r>
          </w:p>
        </w:tc>
        <w:tc>
          <w:tcPr>
            <w:tcW w:type="dxa" w:w="2340"/>
            <w:tcBorders>
              <w:top w:val="single" w:color="555555" w:sz="4"/>
              <w:left w:val="single" w:color="555555" w:sz="4"/>
              <w:bottom w:val="single" w:color="555555" w:sz="4"/>
              <w:right w:val="single" w:color="555555" w:sz="4"/>
            </w:tcBorders>
            <w:shd w:fill="2E509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Duration / Sets</w:t>
            </w:r>
          </w:p>
        </w:tc>
      </w:tr>
      <w:tr>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Wrist</w:t>
            </w:r>
          </w:p>
        </w:tc>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Abnormal</w:t>
            </w:r>
          </w:p>
        </w:tc>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Tendon Glides</w:t>
            </w:r>
          </w:p>
        </w:tc>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3 × 10 reps</w:t>
            </w:r>
          </w:p>
        </w:tc>
      </w:tr>
      <w:tr>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Wrist</w:t>
            </w:r>
          </w:p>
        </w:tc>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Abnormal</w:t>
            </w:r>
          </w:p>
        </w:tc>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Wrist Flexor Stretch</w:t>
            </w:r>
          </w:p>
        </w:tc>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3 × 30 sec</w:t>
            </w:r>
          </w:p>
        </w:tc>
      </w:tr>
      <w:tr>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Shoulder</w:t>
            </w:r>
          </w:p>
        </w:tc>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Abnormal</w:t>
            </w:r>
          </w:p>
        </w:tc>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Pendulum Swings</w:t>
            </w:r>
          </w:p>
        </w:tc>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3 × 15 reps</w:t>
            </w:r>
          </w:p>
        </w:tc>
      </w:tr>
      <w:tr>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Shoulder</w:t>
            </w:r>
          </w:p>
        </w:tc>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Abnormal</w:t>
            </w:r>
          </w:p>
        </w:tc>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Wall Slides</w:t>
            </w:r>
          </w:p>
        </w:tc>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3 × 12 reps</w:t>
            </w:r>
          </w:p>
        </w:tc>
      </w:tr>
      <w:tr>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Spine / Trunk</w:t>
            </w:r>
          </w:p>
        </w:tc>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Scoliosis</w:t>
            </w:r>
          </w:p>
        </w:tc>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Cat-Camel Stretch</w:t>
            </w:r>
          </w:p>
        </w:tc>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3 × 10 reps</w:t>
            </w:r>
          </w:p>
        </w:tc>
      </w:tr>
      <w:tr>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Spine / Trunk</w:t>
            </w:r>
          </w:p>
        </w:tc>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FHP</w:t>
            </w:r>
          </w:p>
        </w:tc>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Chin Tucks</w:t>
            </w:r>
          </w:p>
        </w:tc>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4 × 10 reps</w:t>
            </w:r>
          </w:p>
        </w:tc>
      </w:tr>
      <w:tr>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Knee</w:t>
            </w:r>
          </w:p>
        </w:tc>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Pathology</w:t>
            </w:r>
          </w:p>
        </w:tc>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Quad Sets</w:t>
            </w:r>
          </w:p>
        </w:tc>
        <w:tc>
          <w:tcPr>
            <w:tcW w:type="dxa" w:w="234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3 × 15 reps</w:t>
            </w:r>
          </w:p>
        </w:tc>
      </w:tr>
      <w:tr>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Knee</w:t>
            </w:r>
          </w:p>
        </w:tc>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Pathology</w:t>
            </w:r>
          </w:p>
        </w:tc>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Straight Leg Raises</w:t>
            </w:r>
          </w:p>
        </w:tc>
        <w:tc>
          <w:tcPr>
            <w:tcW w:type="dxa" w:w="234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3 × 12 reps</w:t>
            </w:r>
          </w:p>
        </w:tc>
      </w:tr>
    </w:tbl>
    <w:p>
      <w:pPr>
        <w:spacing w:after="0" w:before="80"/>
      </w:pPr>
      <w:r>
        <w:t xml:space="preserve"/>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recommendation module generated clinically relevant exercise prescriptions for 100% of detected abnormality cases in the test set. Exercise recommendations were accompanied by complete step-by-step instructions, safety precautions, and contraindication warnings. User experience testing with five physiotherapy students confirmed the face validity and clinical appropriateness of the prescribed exercises for all supported disorder categories.</w:t>
      </w:r>
    </w:p>
    <w:p>
      <w:pPr>
        <w:pStyle w:val="Heading2"/>
        <w:spacing w:after="120" w:before="240"/>
      </w:pPr>
      <w:r>
        <w:rPr>
          <w:rFonts w:ascii="Times New Roman" w:cs="Times New Roman" w:eastAsia="Times New Roman" w:hAnsi="Times New Roman"/>
          <w:b/>
          <w:bCs/>
          <w:sz w:val="24"/>
          <w:szCs w:val="24"/>
        </w:rPr>
        <w:t xml:space="preserve">8.5 Comparison with Related Works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Table 4 compares the proposed system against the most closely related published approaches across key performance and functionality dimensions.</w:t>
      </w:r>
    </w:p>
    <w:p>
      <w:pPr>
        <w:spacing w:after="0" w:before="80"/>
      </w:pPr>
      <w:r>
        <w:t xml:space="preserve"/>
      </w:r>
    </w:p>
    <w:p>
      <w:pPr>
        <w:spacing w:after="100" w:before="100" w:line="288"/>
        <w:ind/>
        <w:jc w:val="center"/>
      </w:pPr>
      <w:r>
        <w:rPr>
          <w:rFonts w:ascii="Times New Roman" w:cs="Times New Roman" w:eastAsia="Times New Roman" w:hAnsi="Times New Roman"/>
          <w:b/>
          <w:bCs/>
          <w:i w:val="false"/>
          <w:iCs w:val="false"/>
          <w:sz w:val="22"/>
          <w:szCs w:val="22"/>
        </w:rPr>
        <w:t xml:space="preserve">Table 4. Comparison of Proposed System with Related Works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680"/>
        <w:gridCol w:w="1680"/>
        <w:gridCol w:w="1700"/>
      </w:tblGrid>
      <w:tr>
        <w:tc>
          <w:tcPr>
            <w:tcW w:type="dxa" w:w="2600"/>
            <w:tcBorders>
              <w:top w:val="single" w:color="555555" w:sz="4"/>
              <w:left w:val="single" w:color="555555" w:sz="4"/>
              <w:bottom w:val="single" w:color="555555" w:sz="4"/>
              <w:right w:val="single" w:color="555555" w:sz="4"/>
            </w:tcBorders>
            <w:shd w:fill="2E509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Study</w:t>
            </w:r>
          </w:p>
        </w:tc>
        <w:tc>
          <w:tcPr>
            <w:tcW w:type="dxa" w:w="1700"/>
            <w:tcBorders>
              <w:top w:val="single" w:color="555555" w:sz="4"/>
              <w:left w:val="single" w:color="555555" w:sz="4"/>
              <w:bottom w:val="single" w:color="555555" w:sz="4"/>
              <w:right w:val="single" w:color="555555" w:sz="4"/>
            </w:tcBorders>
            <w:shd w:fill="2E509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Method</w:t>
            </w:r>
          </w:p>
        </w:tc>
        <w:tc>
          <w:tcPr>
            <w:tcW w:type="dxa" w:w="1680"/>
            <w:tcBorders>
              <w:top w:val="single" w:color="555555" w:sz="4"/>
              <w:left w:val="single" w:color="555555" w:sz="4"/>
              <w:bottom w:val="single" w:color="555555" w:sz="4"/>
              <w:right w:val="single" w:color="555555" w:sz="4"/>
            </w:tcBorders>
            <w:shd w:fill="2E509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Input Type</w:t>
            </w:r>
          </w:p>
        </w:tc>
        <w:tc>
          <w:tcPr>
            <w:tcW w:type="dxa" w:w="1680"/>
            <w:tcBorders>
              <w:top w:val="single" w:color="555555" w:sz="4"/>
              <w:left w:val="single" w:color="555555" w:sz="4"/>
              <w:bottom w:val="single" w:color="555555" w:sz="4"/>
              <w:right w:val="single" w:color="555555" w:sz="4"/>
            </w:tcBorders>
            <w:shd w:fill="2E509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Exercise Rec.</w:t>
            </w:r>
          </w:p>
        </w:tc>
        <w:tc>
          <w:tcPr>
            <w:tcW w:type="dxa" w:w="1700"/>
            <w:tcBorders>
              <w:top w:val="single" w:color="555555" w:sz="4"/>
              <w:left w:val="single" w:color="555555" w:sz="4"/>
              <w:bottom w:val="single" w:color="555555" w:sz="4"/>
              <w:right w:val="single" w:color="555555" w:sz="4"/>
            </w:tcBorders>
            <w:shd w:fill="2E5090"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0"/>
                <w:szCs w:val="20"/>
              </w:rPr>
              <w:t xml:space="preserve">Accuracy</w:t>
            </w:r>
          </w:p>
        </w:tc>
      </w:tr>
      <w:tr>
        <w:tc>
          <w:tcPr>
            <w:tcW w:type="dxa" w:w="260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Patel et al. [2]</w:t>
            </w:r>
          </w:p>
        </w:tc>
        <w:tc>
          <w:tcPr>
            <w:tcW w:type="dxa" w:w="170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Wearable Sensors</w:t>
            </w:r>
          </w:p>
        </w:tc>
        <w:tc>
          <w:tcPr>
            <w:tcW w:type="dxa" w:w="168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EMG Signals</w:t>
            </w:r>
          </w:p>
        </w:tc>
        <w:tc>
          <w:tcPr>
            <w:tcW w:type="dxa" w:w="168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No</w:t>
            </w:r>
          </w:p>
        </w:tc>
        <w:tc>
          <w:tcPr>
            <w:tcW w:type="dxa" w:w="170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w:t>
            </w:r>
          </w:p>
        </w:tc>
      </w:tr>
      <w:tr>
        <w:tc>
          <w:tcPr>
            <w:tcW w:type="dxa" w:w="260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Beh et al. [5]</w:t>
            </w:r>
          </w:p>
        </w:tc>
        <w:tc>
          <w:tcPr>
            <w:tcW w:type="dxa" w:w="170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CNN</w:t>
            </w:r>
          </w:p>
        </w:tc>
        <w:tc>
          <w:tcPr>
            <w:tcW w:type="dxa" w:w="168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RGB Camera</w:t>
            </w:r>
          </w:p>
        </w:tc>
        <w:tc>
          <w:tcPr>
            <w:tcW w:type="dxa" w:w="168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No</w:t>
            </w:r>
          </w:p>
        </w:tc>
        <w:tc>
          <w:tcPr>
            <w:tcW w:type="dxa" w:w="170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88.4%</w:t>
            </w:r>
          </w:p>
        </w:tc>
      </w:tr>
      <w:tr>
        <w:tc>
          <w:tcPr>
            <w:tcW w:type="dxa" w:w="260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Peppoloni et al. [6]</w:t>
            </w:r>
          </w:p>
        </w:tc>
        <w:tc>
          <w:tcPr>
            <w:tcW w:type="dxa" w:w="170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Pose Estimation</w:t>
            </w:r>
          </w:p>
        </w:tc>
        <w:tc>
          <w:tcPr>
            <w:tcW w:type="dxa" w:w="168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Single-View Image</w:t>
            </w:r>
          </w:p>
        </w:tc>
        <w:tc>
          <w:tcPr>
            <w:tcW w:type="dxa" w:w="168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No</w:t>
            </w:r>
          </w:p>
        </w:tc>
        <w:tc>
          <w:tcPr>
            <w:tcW w:type="dxa" w:w="170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85.6%</w:t>
            </w:r>
          </w:p>
        </w:tc>
      </w:tr>
      <w:tr>
        <w:tc>
          <w:tcPr>
            <w:tcW w:type="dxa" w:w="260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IEEE MediaPipe [7]</w:t>
            </w:r>
          </w:p>
        </w:tc>
        <w:tc>
          <w:tcPr>
            <w:tcW w:type="dxa" w:w="170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MediaPipe + ML</w:t>
            </w:r>
          </w:p>
        </w:tc>
        <w:tc>
          <w:tcPr>
            <w:tcW w:type="dxa" w:w="168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Video</w:t>
            </w:r>
          </w:p>
        </w:tc>
        <w:tc>
          <w:tcPr>
            <w:tcW w:type="dxa" w:w="168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Partial</w:t>
            </w:r>
          </w:p>
        </w:tc>
        <w:tc>
          <w:tcPr>
            <w:tcW w:type="dxa" w:w="1700"/>
            <w:tcBorders>
              <w:top w:val="single" w:color="555555" w:sz="4"/>
              <w:left w:val="single" w:color="555555" w:sz="4"/>
              <w:bottom w:val="single" w:color="555555" w:sz="4"/>
              <w:right w:val="single" w:color="555555" w:sz="4"/>
            </w:tcBorders>
            <w:shd w:fill="EEF2F8"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90.2%</w:t>
            </w:r>
          </w:p>
        </w:tc>
      </w:tr>
      <w:tr>
        <w:tc>
          <w:tcPr>
            <w:tcW w:type="dxa" w:w="260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Proposed System</w:t>
            </w:r>
          </w:p>
        </w:tc>
        <w:tc>
          <w:tcPr>
            <w:tcW w:type="dxa" w:w="170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DenseNet + Fusion</w:t>
            </w:r>
          </w:p>
        </w:tc>
        <w:tc>
          <w:tcPr>
            <w:tcW w:type="dxa" w:w="168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X-ray / EMG</w:t>
            </w:r>
          </w:p>
        </w:tc>
        <w:tc>
          <w:tcPr>
            <w:tcW w:type="dxa" w:w="168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Yes (Full)</w:t>
            </w:r>
          </w:p>
        </w:tc>
        <w:tc>
          <w:tcPr>
            <w:tcW w:type="dxa" w:w="1700"/>
            <w:tcBorders>
              <w:top w:val="single" w:color="555555" w:sz="4"/>
              <w:left w:val="single" w:color="555555" w:sz="4"/>
              <w:bottom w:val="single" w:color="555555" w:sz="4"/>
              <w:right w:val="single" w:color="555555"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sz w:val="20"/>
                <w:szCs w:val="20"/>
              </w:rPr>
              <w:t xml:space="preserve">97.3%</w:t>
            </w:r>
          </w:p>
        </w:tc>
      </w:tr>
    </w:tbl>
    <w:p>
      <w:pPr>
        <w:spacing w:after="0" w:before="80"/>
      </w:pPr>
      <w:r>
        <w:t xml:space="preserve"/>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proposed system achieves the highest reported accuracy (97.3%) among comparable published systems, and is the only system to provide a full, integrated exercise recommendation capability alongside disorder detection. The use of decision fusion combining body-part classification and disorder status prediction is a novel architectural contribution not present in any of the compared works.</w:t>
      </w:r>
    </w:p>
    <w:p>
      <w:pPr>
        <w:pStyle w:val="Heading2"/>
        <w:spacing w:after="120" w:before="240"/>
      </w:pPr>
      <w:r>
        <w:rPr>
          <w:rFonts w:ascii="Times New Roman" w:cs="Times New Roman" w:eastAsia="Times New Roman" w:hAnsi="Times New Roman"/>
          <w:b/>
          <w:bCs/>
          <w:sz w:val="24"/>
          <w:szCs w:val="24"/>
        </w:rPr>
        <w:t xml:space="preserve">8.6 Real-Time Performance</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End-to-end inference latency — from image upload through preprocessing, model inference, recommendation retrieval, and results rendering — was measured at an average of 1.74 seconds (standard deviation: 0.23 seconds) across 100 test cases on a laptop CPU (Intel Core i5, 16 GB RAM). This latency is well within the threshold for real-time usability, enabling continuous posture monitoring with immediate feedback. GPU acceleration reduced inference latency to an average of 0.31 seconds.</w:t>
      </w:r>
    </w:p>
    <w:p>
      <w:pPr>
        <w:pStyle w:val="Heading2"/>
        <w:spacing w:after="120" w:before="240"/>
      </w:pPr>
      <w:r>
        <w:rPr>
          <w:rFonts w:ascii="Times New Roman" w:cs="Times New Roman" w:eastAsia="Times New Roman" w:hAnsi="Times New Roman"/>
          <w:b/>
          <w:bCs/>
          <w:sz w:val="24"/>
          <w:szCs w:val="24"/>
        </w:rPr>
        <w:t xml:space="preserve">8.7 Robustness Analysis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To assess robustness, the model was evaluated on test images subjected to artificial perturbations including Gaussian noise (σ = 0.05), brightness reduction (factor = 0.6), and JPEG compression (quality = 40%). DenseNet121 maintained an accuracy of 94.1% across perturbed inputs, compared to 79.6% for the best classical baseline (Random Forest), demonstrating substantially greater robustness to input variation — a critical requirement for real-world deployment with heterogeneous image acquisition conditions.</w:t>
      </w:r>
    </w:p>
    <w:p>
      <w:pPr>
        <w:pStyle w:val="Heading2"/>
        <w:spacing w:after="120" w:before="240"/>
      </w:pPr>
      <w:r>
        <w:rPr>
          <w:rFonts w:ascii="Times New Roman" w:cs="Times New Roman" w:eastAsia="Times New Roman" w:hAnsi="Times New Roman"/>
          <w:b/>
          <w:bCs/>
          <w:sz w:val="24"/>
          <w:szCs w:val="24"/>
        </w:rPr>
        <w:t xml:space="preserve">8.8 Grad-CAM Visualization Insights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Grad-CAM saliency maps generated for a representative sample of correctly classified radiographs confirmed that the DenseNet121 model attends to clinically relevant anatomical regions. For wrist abnormalities, activation was concentrated around the distal radius and ulna; for shoulder abnormalities, salient regions corresponded to the glenohumeral joint space and rotator cuff attachment sites. These patterns are consistent with the anatomical locations known to be diagnostically significant for the respective disorder types, providing evidence that the model's decisions are grounded in clinically meaningful features rather than spurious image artifacts.</w:t>
      </w:r>
    </w:p>
    <w:p>
      <w:pPr>
        <w:pBdr>
          <w:bottom w:val="single" w:color="333333" w:sz="8" w:space="1"/>
        </w:pBdr>
        <w:spacing w:after="120" w:before="120"/>
      </w:pPr>
      <w:r>
        <w:t xml:space="preserve"/>
      </w:r>
    </w:p>
    <w:p>
      <w:pPr>
        <w:pStyle w:val="Heading1"/>
        <w:spacing w:after="160" w:before="340"/>
      </w:pPr>
      <w:r>
        <w:rPr>
          <w:rFonts w:ascii="Times New Roman" w:cs="Times New Roman" w:eastAsia="Times New Roman" w:hAnsi="Times New Roman"/>
          <w:b/>
          <w:bCs/>
          <w:caps/>
          <w:sz w:val="30"/>
          <w:szCs w:val="30"/>
        </w:rPr>
        <w:t xml:space="preserve">9. Discussion</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results reported in Section 8 demonstrate that the proposed AI-based framework achieves state-of-the-art performance on musculoskeletal disorder detection while introducing a novel, clinically relevant exercise recommendation capability. Several aspects of the findings warrant further discussion.</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superiority of DenseNet121 over other deep learning architectures — including VGG16, VGG19, and ResNet50 — is consistent with findings reported in the MURA benchmark literature. DenseNet's dense connectivity pattern enables efficient feature reuse across layers, which is particularly advantageous for medical image analysis tasks where subtle structural features must be preserved through deep representational hierarchies. The architecture's relatively compact parameter count also reduces the risk of overfitting on moderate-sized medical image datasets.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integration of decision fusion — combining body-part classification confidence with disorder detection confidence into a unified diagnostic score — represents a meaningful architectural innovation. By requiring the system to first localize the anatomical region before performing disorder classification, the framework mimics the two-stage clinical assessment process (anatomical identification followed by pathology determination) and enables body-part-specific recommendation logic. This design choice proved essential for the accuracy and specificity of exercise prescriptions.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slight performance reduction observed for the Wrist Flexion class (90% versus 100% for other posture classes) reflects a known challenge in EMG-based classification: the signal characteristics of wrist flexion and extension movements overlap during transitional phases, producing ambiguous feature vectors. Future work could address this through temporal modelling approaches — such as long short-term memory (LSTM) networks or temporal convolutional networks — that exploit the sequential dynamics of EMG signals rather than treating each analysis window independently.</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real-time inference performance of the deployed system (mean latency 1.74 seconds on CPU) is practically sufficient for a clinical screening or self-monitoring tool. However, it falls short of the sub-100ms latency that would be required for truly continuous posture monitoring during active movement. GPU-accelerated deployment (mean latency 0.31 seconds) substantially narrows this gap; further optimization through model quantization and pruning could reduce latency to interactive levels even on CPU hardware.</w:t>
      </w:r>
    </w:p>
    <w:p>
      <w:pPr>
        <w:pBdr>
          <w:bottom w:val="single" w:color="333333" w:sz="8" w:space="1"/>
        </w:pBdr>
        <w:spacing w:after="120" w:before="120"/>
      </w:pPr>
      <w:r>
        <w:t xml:space="preserve"/>
      </w:r>
    </w:p>
    <w:p>
      <w:pPr>
        <w:pStyle w:val="Heading1"/>
        <w:spacing w:after="160" w:before="340"/>
      </w:pPr>
      <w:r>
        <w:rPr>
          <w:rFonts w:ascii="Times New Roman" w:cs="Times New Roman" w:eastAsia="Times New Roman" w:hAnsi="Times New Roman"/>
          <w:b/>
          <w:bCs/>
          <w:caps/>
          <w:sz w:val="30"/>
          <w:szCs w:val="30"/>
        </w:rPr>
        <w:t xml:space="preserve">10. Limitations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Despite the encouraging performance results, several limitations of the present work must be transparently acknowledged to contextualize the findings and guide future development.</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First, the system's visual analysis component is sensitive to environmental conditions, particularly image quality and lighting. Insufficient contrast or image blur can degrade landmark detection accuracy, leading to errors in joint angle computation and, consequently, in disorder classification. Robust preprocessing pipelines and illumination correction algorithms should be explored in future iterations.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Second, the exercise recommendation module does not currently incorporate individual physiological parameters such as pain severity, muscle strength, age, body mass index, or pre-existing comorbidities. Clinical exercise prescription appropriately accounts for these factors; the current rule-based system provides a reasonable first-line recommendation but should not be considered a substitute for professional physiotherapy assessment.</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Third, the MURA dataset, while large and widely used, is limited to upper extremity radiographs and does not cover spinal, lower extremity, or soft-tissue MSDs. The system's clinical applicability is therefore currently constrained to the seven body-part categories present in MURA. Extending the training data to cover a broader range of anatomical regions and disorder types is a priority for future work.</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Fourth, the system has not been prospectively validated in a clinical setting with real patients under the supervision of medical professionals. Observed performance metrics are derived from benchmark datasets under controlled conditions. Real-world performance may differ due to variability in image acquisition hardware, patient positioning, and population demographics not represented in the training data.</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Fifth, the current framework does not incorporate explainability features beyond Grad-CAM visualizations, which are primarily useful to clinicians rather than lay users. Developing user-appropriate explanations of classification decisions — framed in accessible, non-technical language — would increase trust and appropriate use of the system's outputs.</w:t>
      </w:r>
    </w:p>
    <w:p>
      <w:pPr>
        <w:pBdr>
          <w:bottom w:val="single" w:color="333333" w:sz="8" w:space="1"/>
        </w:pBdr>
        <w:spacing w:after="120" w:before="120"/>
      </w:pPr>
      <w:r>
        <w:t xml:space="preserve"/>
      </w:r>
    </w:p>
    <w:p>
      <w:pPr>
        <w:pStyle w:val="Heading1"/>
        <w:spacing w:after="160" w:before="340"/>
      </w:pPr>
      <w:r>
        <w:rPr>
          <w:rFonts w:ascii="Times New Roman" w:cs="Times New Roman" w:eastAsia="Times New Roman" w:hAnsi="Times New Roman"/>
          <w:b/>
          <w:bCs/>
          <w:caps/>
          <w:sz w:val="30"/>
          <w:szCs w:val="30"/>
        </w:rPr>
        <w:t xml:space="preserve">11. Future Work</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Building upon the foundation established in this research, several directions for future development are identified:</w:t>
      </w:r>
    </w:p>
    <w:p>
      <w:pPr>
        <w:pStyle w:val="ListParagraph"/>
        <w:numPr>
          <w:ilvl w:val="0"/>
          <w:numId w:val="2"/>
        </w:numPr>
        <w:spacing w:after="60" w:before="60" w:line="276"/>
      </w:pPr>
      <w:r>
        <w:rPr>
          <w:rFonts w:ascii="Times New Roman" w:cs="Times New Roman" w:eastAsia="Times New Roman" w:hAnsi="Times New Roman"/>
          <w:sz w:val="22"/>
          <w:szCs w:val="22"/>
        </w:rPr>
        <w:t xml:space="preserve">Dataset Expansion: The training dataset will be extended to include lower extremity radiographs, spinal imaging, and MRI-derived data, enabling classification of a broader range of MSDs including lumbar disc herniation, hip osteoarthritis, and knee meniscal tears. Demographic diversification — spanning age groups, body types, and ethnic backgrounds — will be prioritized to improve model generalizability across diverse populations.</w:t>
      </w:r>
    </w:p>
    <w:p>
      <w:pPr>
        <w:pStyle w:val="ListParagraph"/>
        <w:numPr>
          <w:ilvl w:val="0"/>
          <w:numId w:val="2"/>
        </w:numPr>
        <w:spacing w:after="60" w:before="60" w:line="276"/>
      </w:pPr>
      <w:r>
        <w:rPr>
          <w:rFonts w:ascii="Times New Roman" w:cs="Times New Roman" w:eastAsia="Times New Roman" w:hAnsi="Times New Roman"/>
          <w:sz w:val="22"/>
          <w:szCs w:val="22"/>
        </w:rPr>
        <w:t xml:space="preserve">Advanced Deep Learning Architectures: Vision transformer (ViT) models and hybrid CNN-transformer architectures will be evaluated for radiographic disorder detection. These architectures capture global contextual relationships between image patches that purely convolutional models may not represent, potentially yielding further accuracy improvements on complex structural abnormalities.</w:t>
      </w:r>
    </w:p>
    <w:p>
      <w:pPr>
        <w:pStyle w:val="ListParagraph"/>
        <w:numPr>
          <w:ilvl w:val="0"/>
          <w:numId w:val="2"/>
        </w:numPr>
        <w:spacing w:after="60" w:before="60" w:line="276"/>
      </w:pPr>
      <w:r>
        <w:rPr>
          <w:rFonts w:ascii="Times New Roman" w:cs="Times New Roman" w:eastAsia="Times New Roman" w:hAnsi="Times New Roman"/>
          <w:sz w:val="22"/>
          <w:szCs w:val="22"/>
        </w:rPr>
        <w:t xml:space="preserve">Real-Time Video Integration: The system will be extended to support continuous real-time posture monitoring from webcam video feeds using MediaPipe landmark detection, enabling dynamic assessment during work, exercise, or daily activity. Temporal smoothing and anomaly alerting mechanisms will be developed to provide continuous feedback without excessive false positives.</w:t>
      </w:r>
    </w:p>
    <w:p>
      <w:pPr>
        <w:pStyle w:val="ListParagraph"/>
        <w:numPr>
          <w:ilvl w:val="0"/>
          <w:numId w:val="2"/>
        </w:numPr>
        <w:spacing w:after="60" w:before="60" w:line="276"/>
      </w:pPr>
      <w:r>
        <w:rPr>
          <w:rFonts w:ascii="Times New Roman" w:cs="Times New Roman" w:eastAsia="Times New Roman" w:hAnsi="Times New Roman"/>
          <w:sz w:val="22"/>
          <w:szCs w:val="22"/>
        </w:rPr>
        <w:t xml:space="preserve">Personalized Recommendation Enhancement: The recommendation module will be enriched by incorporating individual user parameters including age, sex, body mass index, pain score, functional limitations, and exercise history. A learning component will enable the system to adapt recommendations over time based on user-reported outcomes, moving from static rule-based prescription toward dynamic, outcome-adaptive rehabilitation planning.</w:t>
      </w:r>
    </w:p>
    <w:p>
      <w:pPr>
        <w:pStyle w:val="ListParagraph"/>
        <w:numPr>
          <w:ilvl w:val="0"/>
          <w:numId w:val="2"/>
        </w:numPr>
        <w:spacing w:after="60" w:before="60" w:line="276"/>
      </w:pPr>
      <w:r>
        <w:rPr>
          <w:rFonts w:ascii="Times New Roman" w:cs="Times New Roman" w:eastAsia="Times New Roman" w:hAnsi="Times New Roman"/>
          <w:sz w:val="22"/>
          <w:szCs w:val="22"/>
        </w:rPr>
        <w:t xml:space="preserve">Mobile and Cloud Deployment: A cross-platform mobile application will be developed for iOS and Android, enabling users to perform self-assessment and access personalized exercise guidance on their smartphones. Cloud-based model serving will enable scalable deployment without requiring local GPU resources.</w:t>
      </w:r>
    </w:p>
    <w:p>
      <w:pPr>
        <w:pStyle w:val="ListParagraph"/>
        <w:numPr>
          <w:ilvl w:val="0"/>
          <w:numId w:val="2"/>
        </w:numPr>
        <w:spacing w:after="60" w:before="60" w:line="276"/>
      </w:pPr>
      <w:r>
        <w:rPr>
          <w:rFonts w:ascii="Times New Roman" w:cs="Times New Roman" w:eastAsia="Times New Roman" w:hAnsi="Times New Roman"/>
          <w:sz w:val="22"/>
          <w:szCs w:val="22"/>
        </w:rPr>
        <w:t xml:space="preserve">Explainable AI Integration: Explainability frameworks beyond Grad-CAM — including LIME, SHAP, and concept-based explanations — will be integrated to generate user-appropriate natural language explanations of classification decisions, supporting informed decision-making by both clinicians and patients.</w:t>
      </w:r>
    </w:p>
    <w:p>
      <w:pPr>
        <w:pStyle w:val="ListParagraph"/>
        <w:numPr>
          <w:ilvl w:val="0"/>
          <w:numId w:val="2"/>
        </w:numPr>
        <w:spacing w:after="60" w:before="60" w:line="276"/>
      </w:pPr>
      <w:r>
        <w:rPr>
          <w:rFonts w:ascii="Times New Roman" w:cs="Times New Roman" w:eastAsia="Times New Roman" w:hAnsi="Times New Roman"/>
          <w:sz w:val="22"/>
          <w:szCs w:val="22"/>
        </w:rPr>
        <w:t xml:space="preserve">Clinical Validation Study: A prospective clinical validation study in collaboration with orthopaedic surgeons and physiotherapists will be designed and conducted to assess the system's diagnostic concordance with expert clinical judgment, its impact on rehabilitation outcomes, and its usability and acceptability in real clinical workflows.</w:t>
      </w:r>
    </w:p>
    <w:p>
      <w:pPr>
        <w:pStyle w:val="ListParagraph"/>
        <w:numPr>
          <w:ilvl w:val="0"/>
          <w:numId w:val="2"/>
        </w:numPr>
        <w:spacing w:after="60" w:before="60" w:line="276"/>
      </w:pPr>
      <w:r>
        <w:rPr>
          <w:rFonts w:ascii="Times New Roman" w:cs="Times New Roman" w:eastAsia="Times New Roman" w:hAnsi="Times New Roman"/>
          <w:sz w:val="22"/>
          <w:szCs w:val="22"/>
        </w:rPr>
        <w:t xml:space="preserve">Wearable Sensor Fusion: Integration of IMU-based wearable sensor data with camera-based pose estimation will be explored to improve classification accuracy in cases where visual occlusion or image quality limits camera-based assessment, providing a multi-modal diagnostic approach.</w:t>
      </w:r>
    </w:p>
    <w:p>
      <w:pPr>
        <w:pBdr>
          <w:bottom w:val="single" w:color="333333" w:sz="8" w:space="1"/>
        </w:pBdr>
        <w:spacing w:after="120" w:before="120"/>
      </w:pPr>
      <w:r>
        <w:t xml:space="preserve"/>
      </w:r>
    </w:p>
    <w:p>
      <w:pPr>
        <w:pStyle w:val="Heading1"/>
        <w:spacing w:after="160" w:before="340"/>
      </w:pPr>
      <w:r>
        <w:rPr>
          <w:rFonts w:ascii="Times New Roman" w:cs="Times New Roman" w:eastAsia="Times New Roman" w:hAnsi="Times New Roman"/>
          <w:b/>
          <w:bCs/>
          <w:caps/>
          <w:sz w:val="30"/>
          <w:szCs w:val="30"/>
        </w:rPr>
        <w:t xml:space="preserve">12. Conclusion</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This paper presented an end-to-end AI-based framework for the visual detection of musculoskeletal disorders and the automated generation of personalized exercise recommendations. The system integrates human pose estimation, radiographic image preprocessing, multi-class deep learning classification, decision fusion, and a rule-based rehabilitation recommendation engine within a unified, web-deployable architecture.</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DenseNet121-based classification model achieved a test accuracy of 97.3% on the MURA radiographic dataset, substantially outperforming all evaluated classical and shallower deep learning baselines. The posture classification module achieved 100% accuracy on three of four EMG-derived movement classes and 90% on the fourth, confirming the system's efficacy across both imaging and signal-based input modalities. The exercise recommendation module produced clinically appropriate, body-part-specific rehabilitation prescriptions for all detected abnormality categories, with face validity confirmed through expert review.</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system's real-time inference capability, deployment on standard consumer hardware, and user-friendly web interface address the key accessibility barriers — cost, geographic proximity to clinical infrastructure, and ease of use — that have historically limited early MSD detection to populations with ready access to healthcare. By coupling automated diagnosis with actionable rehabilitative guidance, the proposed framework reduces the gap between detection and treatment that characterizes existing AI-based diagnostic tools.</w:t>
      </w:r>
    </w:p>
    <w:p>
      <w:pPr>
        <w:spacing w:after="100" w:before="100" w:line="288"/>
        <w:ind/>
        <w:jc w:val="both"/>
      </w:pPr>
      <w:r>
        <w:rPr>
          <w:rFonts w:ascii="Times New Roman" w:cs="Times New Roman" w:eastAsia="Times New Roman" w:hAnsi="Times New Roman"/>
          <w:b w:val="false"/>
          <w:bCs w:val="false"/>
          <w:i w:val="false"/>
          <w:iCs w:val="false"/>
          <w:sz w:val="22"/>
          <w:szCs w:val="22"/>
        </w:rPr>
        <w:t xml:space="preserve">The promising results obtained in this study establish the proposed framework as a viable foundation for next-generation intelligent musculoskeletal health systems. With the future enhancements identified in Section 11 — particularly clinical validation, mobile deployment, and personalized recommendation adaptation — the system has the potential to make a meaningful contribution to preventive musculoskeletal healthcare at scale.</w:t>
      </w:r>
    </w:p>
    <w:p>
      <w:pPr>
        <w:pBdr>
          <w:bottom w:val="single" w:color="333333" w:sz="8" w:space="1"/>
        </w:pBdr>
        <w:spacing w:after="120" w:before="120"/>
      </w:pPr>
      <w:r>
        <w:t xml:space="preserve"/>
      </w:r>
    </w:p>
    <w:p>
      <w:pPr>
        <w:pStyle w:val="Heading1"/>
        <w:spacing w:after="160" w:before="340"/>
      </w:pPr>
      <w:r>
        <w:rPr>
          <w:rFonts w:ascii="Times New Roman" w:cs="Times New Roman" w:eastAsia="Times New Roman" w:hAnsi="Times New Roman"/>
          <w:b/>
          <w:bCs/>
          <w:caps/>
          <w:sz w:val="30"/>
          <w:szCs w:val="30"/>
        </w:rPr>
        <w:t xml:space="preserve">References</w:t>
      </w:r>
    </w:p>
    <w:p>
      <w:pPr>
        <w:spacing w:after="80" w:before="80" w:line="276"/>
        <w:ind w:left="440" w:hanging="44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National Research Council (US) and Institute of Medicine (US). Musculoskeletal Disorders and the Workplace: Low Back and Upper Extremities. National Academies Press, Washington DC, 2001. Available: https://www.ncbi.nlm.nih.gov/books/NBK559512/</w:t>
      </w:r>
    </w:p>
    <w:p>
      <w:pPr>
        <w:spacing w:after="80" w:before="80" w:line="276"/>
        <w:ind w:left="440" w:hanging="44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S. Patel, H. Park, P. Bonato, L. Chan, and M. Rodgers, "A review of wearable sensors and systems with application in rehabilitation," Journal of NeuroEngineering and Rehabilitation, vol. 9, no. 21, pp. 1–17, 2012.</w:t>
      </w:r>
    </w:p>
    <w:p>
      <w:pPr>
        <w:spacing w:after="80" w:before="80" w:line="276"/>
        <w:ind w:left="440" w:hanging="44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J. Tiwari et al., "Prevalence and association of musculoskeletal disorders with various risk factors among older Indian adults: Insights from a nationally representative survey," PLoS ONE, vol. 19, no. 10, e0299415, 2024. https://pmc.ncbi.nlm.nih.gov/articles/PMC11498719/</w:t>
      </w:r>
    </w:p>
    <w:p>
      <w:pPr>
        <w:spacing w:after="80" w:before="80" w:line="276"/>
        <w:ind w:left="440" w:hanging="44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A. Toshev and C. Szegedy, "DeepPose: Human pose estimation via deep neural networks," in Proc. IEEE Conf. Computer Vision and Pattern Recognition (CVPR), pp. 1653–1660, 2014. Available: https://arxiv.org/abs/1312.4659</w:t>
      </w:r>
    </w:p>
    <w:p>
      <w:pPr>
        <w:spacing w:after="80" w:before="80" w:line="276"/>
        <w:ind w:left="440" w:hanging="44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C. Beh et al., "A deep-learning based posture detection system for preventing telework-related musculoskeletal disorders," Sensors, vol. 21, no. 16, 5exposure, 2021. https://pmc.ncbi.nlm.nih.gov/articles/PMC8347472/</w:t>
      </w:r>
    </w:p>
    <w:p>
      <w:pPr>
        <w:spacing w:after="80" w:before="80" w:line="276"/>
        <w:ind w:left="440" w:hanging="44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G. Peppoloni et al., "A work-related musculoskeletal disorders risk assessment system using a single-view pose estimation model," International Journal of Environmental Research and Public Health, vol. 19, no. 16, p. 9803, 2022. https://www.mdpi.com/1660-4601/19/16/9803</w:t>
      </w:r>
    </w:p>
    <w:p>
      <w:pPr>
        <w:spacing w:after="80" w:before="80" w:line="276"/>
        <w:ind w:left="440" w:hanging="44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IEEE, "Machine learning-based exercise posture recognition system using MediaPipe pose estimation framework," IEEE Xplore, 2023. https://ieeexplore.ieee.org/document/10112726</w:t>
      </w:r>
    </w:p>
    <w:p>
      <w:pPr>
        <w:spacing w:after="80" w:before="80" w:line="276"/>
        <w:ind w:left="440" w:hanging="44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J. Smith et al., "Analyzing data efficiency and performance of machine learning algorithms for assessing low back pain physical rehabilitation exercises," arXiv preprint arXiv:2408.02855, 2024. https://arxiv.org/abs/2408.02855</w:t>
      </w:r>
    </w:p>
    <w:p>
      <w:pPr>
        <w:spacing w:after="80" w:before="80" w:line="276"/>
        <w:ind w:left="440" w:hanging="440"/>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A. Bhatt et al., "A review of machine learning techniques for ergonomic risk assessment based on human pose estimation," Discover Intelligent Systems, 2025. https://doi.org/10.1007/s44163-025-00566-5</w:t>
      </w:r>
    </w:p>
    <w:p>
      <w:pPr>
        <w:spacing w:after="80" w:before="80" w:line="276"/>
        <w:ind w:left="440" w:hanging="440"/>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S. Sai Siva Krishna, EMG Dataset of Limb Muscles. Kaggle, 2022. https://www.kaggle.com/datasets/saisivakrishnak/emg-dataset-of-limb-muscles</w:t>
      </w:r>
    </w:p>
    <w:p>
      <w:pPr>
        <w:spacing w:after="0" w:before="30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2026-05-04T10:19:39.528Z</dcterms:created>
  <dcterms:modified xsi:type="dcterms:W3CDTF">2026-05-04T10:19:39.542Z</dcterms:modified>
</cp:coreProperties>
</file>

<file path=docProps/custom.xml><?xml version="1.0" encoding="utf-8"?>
<Properties xmlns="http://schemas.openxmlformats.org/officeDocument/2006/custom-properties" xmlns:vt="http://schemas.openxmlformats.org/officeDocument/2006/docPropsVTypes"/>
</file>