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val="false"/>
          <w:bCs w:val="false"/>
          <w:i w:val="false"/>
          <w:iCs w:val="false"/>
          <w:color w:val="1A1A1A"/>
          <w:sz w:val="20"/>
          <w:szCs w:val="20"/>
        </w:rPr>
        <w:t xml:space="preserve"/>
      </w:r>
    </w:p>
    <w:p>
      <w:pPr>
        <w:spacing w:before="0" w:after="80"/>
      </w:pPr>
      <w:r>
        <w:rPr>
          <w:rFonts w:ascii="Arial" w:cs="Arial" w:eastAsia="Arial" w:hAnsi="Arial"/>
          <w:b w:val="false"/>
          <w:bCs w:val="false"/>
          <w:i w:val="false"/>
          <w:iCs w:val="false"/>
          <w:color w:val="1A1A1A"/>
          <w:sz w:val="20"/>
          <w:szCs w:val="20"/>
        </w:rPr>
        <w:t xml:space="preserve"/>
      </w:r>
    </w:p>
    <w:p>
      <w:pPr>
        <w:spacing w:before="0" w:after="80"/>
      </w:pPr>
      <w:r>
        <w:rPr>
          <w:rFonts w:ascii="Arial" w:cs="Arial" w:eastAsia="Arial" w:hAnsi="Arial"/>
          <w:b w:val="false"/>
          <w:bCs w:val="false"/>
          <w:i w:val="false"/>
          <w:iCs w:val="false"/>
          <w:color w:val="1A1A1A"/>
          <w:sz w:val="20"/>
          <w:szCs w:val="20"/>
        </w:rPr>
        <w:t xml:space="preserve"/>
      </w:r>
    </w:p>
    <w:p>
      <w:pPr>
        <w:spacing w:before="0" w:after="160"/>
        <w:jc w:val="center"/>
      </w:pPr>
      <w:r>
        <w:rPr>
          <w:rFonts w:ascii="Arial" w:cs="Arial" w:eastAsia="Arial" w:hAnsi="Arial"/>
          <w:b/>
          <w:bCs/>
          <w:i w:val="false"/>
          <w:iCs w:val="false"/>
          <w:color w:val="1F3864"/>
          <w:sz w:val="56"/>
          <w:szCs w:val="56"/>
        </w:rPr>
        <w:t xml:space="preserve">MechmanRetail</w:t>
      </w:r>
    </w:p>
    <w:p>
      <w:pPr>
        <w:spacing w:before="0" w:after="80"/>
        <w:jc w:val="center"/>
      </w:pPr>
      <w:r>
        <w:rPr>
          <w:rFonts w:ascii="Arial" w:cs="Arial" w:eastAsia="Arial" w:hAnsi="Arial"/>
          <w:b/>
          <w:bCs/>
          <w:i w:val="false"/>
          <w:iCs w:val="false"/>
          <w:color w:val="2E75B6"/>
          <w:sz w:val="36"/>
          <w:szCs w:val="36"/>
        </w:rPr>
        <w:t xml:space="preserve">BI Portfolio Project</w:t>
      </w:r>
    </w:p>
    <w:p>
      <w:pPr>
        <w:spacing w:before="0" w:after="320"/>
        <w:jc w:val="center"/>
      </w:pPr>
      <w:r>
        <w:rPr>
          <w:rFonts w:ascii="Arial" w:cs="Arial" w:eastAsia="Arial" w:hAnsi="Arial"/>
          <w:b w:val="false"/>
          <w:bCs w:val="false"/>
          <w:i w:val="false"/>
          <w:iCs w:val="false"/>
          <w:color w:val="444444"/>
          <w:sz w:val="24"/>
          <w:szCs w:val="24"/>
        </w:rPr>
        <w:t xml:space="preserve">Phase 1: SQL Server — Project Documentation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pPr>
              <w:spacing w:before="40" w:after="60"/>
              <w:jc w:val="center"/>
            </w:pPr>
            <w:r>
              <w:rPr>
                <w:rFonts w:ascii="Arial" w:cs="Arial" w:eastAsia="Arial" w:hAnsi="Arial"/>
                <w:b/>
                <w:bCs/>
                <w:i w:val="false"/>
                <w:iCs w:val="false"/>
                <w:color w:val="1F3864"/>
                <w:sz w:val="22"/>
                <w:szCs w:val="22"/>
              </w:rPr>
              <w:t xml:space="preserve">Author: Adiga Triumphant</w:t>
            </w:r>
          </w:p>
          <w:p>
            <w:pPr>
              <w:spacing w:before="0" w:after="40"/>
              <w:jc w:val="center"/>
            </w:pPr>
            <w:r>
              <w:rPr>
                <w:rFonts w:ascii="Arial" w:cs="Arial" w:eastAsia="Arial" w:hAnsi="Arial"/>
                <w:b w:val="false"/>
                <w:bCs w:val="false"/>
                <w:i w:val="false"/>
                <w:iCs w:val="false"/>
                <w:color w:val="444444"/>
                <w:sz w:val="20"/>
                <w:szCs w:val="20"/>
              </w:rPr>
              <w:t xml:space="preserve">Tool: SQL Server Management Studio (SSMS)</w:t>
            </w:r>
          </w:p>
          <w:p>
            <w:pPr>
              <w:spacing w:before="0" w:after="40"/>
              <w:jc w:val="center"/>
            </w:pPr>
            <w:r>
              <w:rPr>
                <w:rFonts w:ascii="Arial" w:cs="Arial" w:eastAsia="Arial" w:hAnsi="Arial"/>
                <w:b w:val="false"/>
                <w:bCs w:val="false"/>
                <w:i/>
                <w:iCs/>
                <w:color w:val="666666"/>
                <w:sz w:val="19"/>
                <w:szCs w:val="19"/>
              </w:rPr>
              <w:t xml:space="preserve">MechmanRetail_SOURCE  ·  MechmanRetail_DEV  ·  MechmanRetail_PROD</w:t>
            </w:r>
          </w:p>
        </w:tc>
      </w:tr>
    </w:tbl>
    <w:p>
      <w:r>
        <w:br w:type="page"/>
      </w:r>
    </w:p>
    <w:p>
      <w:pPr>
        <w:pStyle w:val="Heading2"/>
        <w:pBdr>
          <w:bottom w:val="single" w:color="2E75B6" w:sz="4" w:space="2"/>
        </w:pBdr>
        <w:spacing w:before="320" w:after="120"/>
      </w:pPr>
      <w:r>
        <w:rPr>
          <w:rFonts w:ascii="Arial" w:cs="Arial" w:eastAsia="Arial" w:hAnsi="Arial"/>
          <w:b/>
          <w:bCs/>
          <w:i w:val="false"/>
          <w:iCs w:val="false"/>
          <w:color w:val="1F3864"/>
          <w:sz w:val="26"/>
          <w:szCs w:val="26"/>
        </w:rPr>
        <w:t xml:space="preserve">Project Context</w:t>
      </w:r>
    </w:p>
    <w:p>
      <w:pPr>
        <w:spacing w:before="40" w:after="100"/>
      </w:pPr>
      <w:r>
        <w:rPr>
          <w:rFonts w:ascii="Arial" w:cs="Arial" w:eastAsia="Arial" w:hAnsi="Arial"/>
          <w:b w:val="false"/>
          <w:bCs w:val="false"/>
          <w:i w:val="false"/>
          <w:iCs w:val="false"/>
          <w:color w:val="1A1A1A"/>
          <w:sz w:val="20"/>
          <w:szCs w:val="20"/>
        </w:rPr>
        <w:t xml:space="preserve">This document records the SQL Server implementation completed as part of the MechmanRetail BI Portfolio Project. The project implements a three-tier architecture across three databases: MechmanRetail_SOURCE holds the full raw dataset representing the operational source system, MechmanRetail_DEV is the staging environment that holds only the latest unprocessed month at any one time, and MechmanRetail_PROD holds the full historical analytical dataset that the published Power BI report connects to. All database objects — views, stored procedures, and the RLS policy — were created identically in DEV and PROD. The sales transaction data arrived already restored in all three databases as the original dbo.Sale table with its original spaced column naming convention.</w:t>
      </w:r>
    </w:p>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2E75B6" w:sz="12"/>
              <w:bottom w:val="none" w:color="FFFFFF" w:sz="0"/>
              <w:right w:val="none" w:color="FFFFFF" w:sz="0"/>
            </w:tcBorders>
            <w:shd w:fill="EBF3FB" w:val="clear"/>
            <w:tcMar>
              <w:top w:type="dxa" w:w="80"/>
              <w:left w:type="dxa" w:w="160"/>
              <w:bottom w:type="dxa" w:w="80"/>
              <w:right w:type="dxa" w:w="120"/>
            </w:tcMar>
          </w:tcPr>
          <w:p>
            <w:pPr>
              <w:spacing w:before="40" w:after="40"/>
            </w:pPr>
            <w:r>
              <w:rPr>
                <w:rFonts w:ascii="Arial" w:cs="Arial" w:eastAsia="Arial" w:hAnsi="Arial"/>
                <w:b/>
                <w:bCs/>
                <w:i w:val="false"/>
                <w:iCs w:val="false"/>
                <w:color w:val="2E75B6"/>
                <w:sz w:val="19"/>
                <w:szCs w:val="19"/>
              </w:rPr>
              <w:t xml:space="preserve">Reason: </w:t>
            </w:r>
            <w:r>
              <w:rPr>
                <w:rFonts w:ascii="Arial" w:cs="Arial" w:eastAsia="Arial" w:hAnsi="Arial"/>
                <w:b w:val="false"/>
                <w:bCs w:val="false"/>
                <w:i w:val="false"/>
                <w:iCs w:val="false"/>
                <w:color w:val="1A1A1A"/>
                <w:sz w:val="19"/>
                <w:szCs w:val="19"/>
              </w:rPr>
              <w:t xml:space="preserve">The three-tier SOURCE/DEV/PROD architecture enforces a controlled incremental pipeline. New data arrives in SOURCE, is staged into DEV for validation, and is promoted to PROD only after all quality checks pass. This separation prevents unvalidated data from ever reaching the published report and mirrors how production BI systems manage data currency.</w:t>
            </w:r>
          </w:p>
        </w:tc>
      </w:tr>
    </w:tbl>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9A84C" w:val="clear"/>
            <w:tcMar>
              <w:top w:type="dxa" w:w="100"/>
              <w:left w:type="dxa" w:w="120"/>
              <w:bottom w:type="dxa" w:w="100"/>
              <w:right w:type="dxa" w:w="120"/>
            </w:tcMar>
          </w:tcPr>
          <w:p>
            <w:pPr>
              <w:jc w:val="center"/>
            </w:pPr>
            <w:r>
              <w:rPr>
                <w:rFonts w:ascii="Arial" w:cs="Arial" w:eastAsia="Arial" w:hAnsi="Arial"/>
                <w:b/>
                <w:bCs/>
                <w:i w:val="false"/>
                <w:iCs w:val="false"/>
                <w:color w:val="FFFFFF"/>
                <w:sz w:val="28"/>
                <w:szCs w:val="28"/>
              </w:rPr>
              <w:t xml:space="preserve">1</w:t>
            </w:r>
          </w:p>
        </w:tc>
        <w:tc>
          <w:tcPr>
            <w:tcW w:type="dxa" w:w="8640"/>
            <w:tcBorders>
              <w:top w:val="none" w:color="FFFFFF" w:sz="0"/>
              <w:left w:val="none" w:color="FFFFFF" w:sz="0"/>
              <w:bottom w:val="single" w:color="C9A84C" w:sz="3"/>
              <w:right w:val="none" w:color="FFFFFF" w:sz="0"/>
            </w:tcBorders>
            <w:shd w:fill="FAFAFA" w:val="clear"/>
            <w:tcMar>
              <w:top w:type="dxa" w:w="80"/>
              <w:left w:type="dxa" w:w="160"/>
              <w:bottom w:type="dxa" w:w="80"/>
              <w:right w:type="dxa" w:w="120"/>
            </w:tcMar>
          </w:tcPr>
          <w:p>
            <w:pPr>
              <w:spacing w:before="0" w:after="20"/>
            </w:pPr>
            <w:r>
              <w:rPr>
                <w:rFonts w:ascii="Arial" w:cs="Arial" w:eastAsia="Arial" w:hAnsi="Arial"/>
                <w:b/>
                <w:bCs/>
                <w:i w:val="false"/>
                <w:iCs w:val="false"/>
                <w:color w:val="1F3864"/>
                <w:sz w:val="26"/>
                <w:szCs w:val="26"/>
              </w:rPr>
              <w:t xml:space="preserve">View-Level Column Standardisation</w:t>
            </w:r>
          </w:p>
          <w:p>
            <w:pPr>
              <w:spacing w:before="0" w:after="0"/>
            </w:pPr>
            <w:r>
              <w:rPr>
                <w:rFonts w:ascii="Arial" w:cs="Arial" w:eastAsia="Arial" w:hAnsi="Arial"/>
                <w:b w:val="false"/>
                <w:bCs w:val="false"/>
                <w:i/>
                <w:iCs/>
                <w:color w:val="666666"/>
                <w:sz w:val="18"/>
                <w:szCs w:val="18"/>
              </w:rPr>
              <w:t xml:space="preserve">dbo.Sale source table unchanged — standardisation through vw_Sales_Base</w:t>
            </w:r>
          </w:p>
        </w:tc>
      </w:tr>
    </w:tbl>
    <w:p>
      <w:pPr>
        <w:spacing w:before="0" w:after="80"/>
      </w:pPr>
      <w:r>
        <w:rPr>
          <w:rFonts w:ascii="Arial" w:cs="Arial" w:eastAsia="Arial" w:hAnsi="Arial"/>
          <w:b w:val="false"/>
          <w:bCs w:val="false"/>
          <w:i w:val="false"/>
          <w:iCs w:val="false"/>
          <w:color w:val="1A1A1A"/>
          <w:sz w:val="20"/>
          <w:szCs w:val="20"/>
        </w:rPr>
        <w:t xml:space="preserve"/>
      </w:r>
    </w:p>
    <w:p>
      <w:pPr>
        <w:spacing w:before="40" w:after="100"/>
      </w:pPr>
      <w:r>
        <w:rPr>
          <w:rFonts w:ascii="Arial" w:cs="Arial" w:eastAsia="Arial" w:hAnsi="Arial"/>
          <w:b w:val="false"/>
          <w:bCs w:val="false"/>
          <w:i w:val="false"/>
          <w:iCs w:val="false"/>
          <w:color w:val="1A1A1A"/>
          <w:sz w:val="20"/>
          <w:szCs w:val="20"/>
        </w:rPr>
        <w:t xml:space="preserve">The source table dbo.Sale was left completely unchanged with its original spaced column naming convention. Column standardisation was applied entirely at the view layer. vw_Sales_Base exposes only the 12 columns actively consumed by the Power BI model with clean camelCase aliases and WITH SCHEMABINDING. Five unused columns were deliberately excluded.</w:t>
      </w:r>
    </w:p>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2E75B6" w:sz="12"/>
              <w:bottom w:val="none" w:color="FFFFFF" w:sz="0"/>
              <w:right w:val="none" w:color="FFFFFF" w:sz="0"/>
            </w:tcBorders>
            <w:shd w:fill="EBF3FB" w:val="clear"/>
            <w:tcMar>
              <w:top w:type="dxa" w:w="80"/>
              <w:left w:type="dxa" w:w="160"/>
              <w:bottom w:type="dxa" w:w="80"/>
              <w:right w:type="dxa" w:w="120"/>
            </w:tcMar>
          </w:tcPr>
          <w:p>
            <w:pPr>
              <w:spacing w:before="40" w:after="40"/>
            </w:pPr>
            <w:r>
              <w:rPr>
                <w:rFonts w:ascii="Arial" w:cs="Arial" w:eastAsia="Arial" w:hAnsi="Arial"/>
                <w:b/>
                <w:bCs/>
                <w:i w:val="false"/>
                <w:iCs w:val="false"/>
                <w:color w:val="2E75B6"/>
                <w:sz w:val="19"/>
                <w:szCs w:val="19"/>
              </w:rPr>
              <w:t xml:space="preserve">Reason: </w:t>
            </w:r>
            <w:r>
              <w:rPr>
                <w:rFonts w:ascii="Arial" w:cs="Arial" w:eastAsia="Arial" w:hAnsi="Arial"/>
                <w:b w:val="false"/>
                <w:bCs w:val="false"/>
                <w:i w:val="false"/>
                <w:iCs w:val="false"/>
                <w:color w:val="1A1A1A"/>
                <w:sz w:val="19"/>
                <w:szCs w:val="19"/>
              </w:rPr>
              <w:t xml:space="preserve">Standardising at the view level rather than on the physical table means any future restore, upgrade, or schema change does not break the standardisation layer. The view absorbs the translation at one point and Power BI always receives clean names regardless of what the underlying table contains. Exposing only the 12 consumed columns reduces the volume of data imported into Power BI's in-memory model, prevents unused fields from cluttering the field list, and ensures the semantic model contains only what has analytical purpose.</w:t>
            </w:r>
          </w:p>
        </w:tc>
      </w:tr>
    </w:tbl>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Source Column</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Alias</w:t>
            </w:r>
          </w:p>
        </w:tc>
        <w:tc>
          <w:tcPr>
            <w:tcW w:type="dxa" w:w="4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Purpose</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[Sale Key]</w:t>
            </w:r>
          </w:p>
        </w:tc>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SaleKey</w:t>
            </w:r>
          </w:p>
        </w:tc>
        <w:tc>
          <w:tcPr>
            <w:tcW w:type="dxa" w:w="4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Primary key — health check duplicate detection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[City Key]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CityKey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Relationship to dim_Geography</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[Customer Key]</w:t>
            </w:r>
          </w:p>
        </w:tc>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CustomerKey</w:t>
            </w:r>
          </w:p>
        </w:tc>
        <w:tc>
          <w:tcPr>
            <w:tcW w:type="dxa" w:w="4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Relationship to dim_Customer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[Stock Item Key]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StockItemKey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Relationship to dim_Product</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[Invoice Date Key]</w:t>
            </w:r>
          </w:p>
        </w:tc>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InvoiceDateKey</w:t>
            </w:r>
          </w:p>
        </w:tc>
        <w:tc>
          <w:tcPr>
            <w:tcW w:type="dxa" w:w="4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Active relationship to dim_Date. DATEDIFF in Avg Days to Ship.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[Delivery Date Key]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DeliveryDateKey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Inactive relationship to dim_Date. DATEDIFF in Avg Days to Ship.</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[Salesperson Key]</w:t>
            </w:r>
          </w:p>
        </w:tc>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SalespersonKey</w:t>
            </w:r>
          </w:p>
        </w:tc>
        <w:tc>
          <w:tcPr>
            <w:tcW w:type="dxa" w:w="4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Relationship to dim_Employee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Quantity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Quantity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Total Quantity measure</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[Total Excluding Tax]</w:t>
            </w:r>
          </w:p>
        </w:tc>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TotalExcludingTax</w:t>
            </w:r>
          </w:p>
        </w:tc>
        <w:tc>
          <w:tcPr>
            <w:tcW w:type="dxa" w:w="4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Total Revenue measure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Profit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Profit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Total Profit measure</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[Total Chiller Items]</w:t>
            </w:r>
          </w:p>
        </w:tc>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TotalChillerItems</w:t>
            </w:r>
          </w:p>
        </w:tc>
        <w:tc>
          <w:tcPr>
            <w:tcW w:type="dxa" w:w="4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Total Chiller Items measure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[Total Dry Items]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TotalDryItems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Total Dry Items measure</w:t>
            </w:r>
          </w:p>
        </w:tc>
      </w:tr>
    </w:tbl>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Excluded Column</w:t>
            </w:r>
          </w:p>
        </w:tc>
        <w:tc>
          <w:tcPr>
            <w:tcW w:type="dxa" w:w="6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Reason</w:t>
            </w:r>
          </w:p>
        </w:tc>
      </w:tr>
      <w:tr>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[WWI Invoice ID]</w:t>
            </w:r>
          </w:p>
        </w:tc>
        <w:tc>
          <w:tcPr>
            <w:tcW w:type="dxa" w:w="6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Internal reference — no measure, relationship, or visual uses it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[Unit Price]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Not used — revenue is taken from Total Excluding Tax</w:t>
            </w:r>
          </w:p>
        </w:tc>
      </w:tr>
      <w:tr>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[Tax Rate]</w:t>
            </w:r>
          </w:p>
        </w:tc>
        <w:tc>
          <w:tcPr>
            <w:tcW w:type="dxa" w:w="6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Not used in any measure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[Tax Amount]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Not used in any measure</w:t>
            </w:r>
          </w:p>
        </w:tc>
      </w:tr>
      <w:tr>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[Total Including Tax]</w:t>
            </w:r>
          </w:p>
        </w:tc>
        <w:tc>
          <w:tcPr>
            <w:tcW w:type="dxa" w:w="6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Not used — revenue uses Total Excluding Tax exclusively</w:t>
            </w:r>
          </w:p>
        </w:tc>
      </w:tr>
    </w:tbl>
    <w:p>
      <w:pPr>
        <w:spacing w:before="0" w:after="80"/>
      </w:pPr>
      <w:r>
        <w:rPr>
          <w:rFonts w:ascii="Arial" w:cs="Arial" w:eastAsia="Arial" w:hAnsi="Arial"/>
          <w:b w:val="false"/>
          <w:bCs w:val="false"/>
          <w:i w:val="false"/>
          <w:iCs w:val="false"/>
          <w:color w:val="1A1A1A"/>
          <w:sz w:val="20"/>
          <w:szCs w:val="20"/>
        </w:rPr>
        <w:t xml:space="preserve"/>
      </w:r>
    </w:p>
    <w:p>
      <w:pPr>
        <w:spacing w:before="40" w:after="100"/>
      </w:pPr>
      <w:r>
        <w:rPr>
          <w:rFonts w:ascii="Arial" w:cs="Arial" w:eastAsia="Arial" w:hAnsi="Arial"/>
          <w:b w:val="false"/>
          <w:bCs w:val="false"/>
          <w:i w:val="false"/>
          <w:iCs w:val="false"/>
          <w:color w:val="1A1A1A"/>
          <w:sz w:val="20"/>
          <w:szCs w:val="20"/>
        </w:rPr>
        <w:t xml:space="preserve">A primary key constraint was added on [Sale Key] and three non-clustered indexes were created on [Invoice Date Key], [Customer Key], and [Salesperson Key].</w:t>
      </w:r>
    </w:p>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2E75B6" w:sz="12"/>
              <w:bottom w:val="none" w:color="FFFFFF" w:sz="0"/>
              <w:right w:val="none" w:color="FFFFFF" w:sz="0"/>
            </w:tcBorders>
            <w:shd w:fill="EBF3FB" w:val="clear"/>
            <w:tcMar>
              <w:top w:type="dxa" w:w="80"/>
              <w:left w:type="dxa" w:w="160"/>
              <w:bottom w:type="dxa" w:w="80"/>
              <w:right w:type="dxa" w:w="120"/>
            </w:tcMar>
          </w:tcPr>
          <w:p>
            <w:pPr>
              <w:spacing w:before="40" w:after="40"/>
            </w:pPr>
            <w:r>
              <w:rPr>
                <w:rFonts w:ascii="Arial" w:cs="Arial" w:eastAsia="Arial" w:hAnsi="Arial"/>
                <w:b/>
                <w:bCs/>
                <w:i w:val="false"/>
                <w:iCs w:val="false"/>
                <w:color w:val="2E75B6"/>
                <w:sz w:val="19"/>
                <w:szCs w:val="19"/>
              </w:rPr>
              <w:t xml:space="preserve">Reason: </w:t>
            </w:r>
            <w:r>
              <w:rPr>
                <w:rFonts w:ascii="Arial" w:cs="Arial" w:eastAsia="Arial" w:hAnsi="Arial"/>
                <w:b w:val="false"/>
                <w:bCs w:val="false"/>
                <w:i w:val="false"/>
                <w:iCs w:val="false"/>
                <w:color w:val="1A1A1A"/>
                <w:sz w:val="19"/>
                <w:szCs w:val="19"/>
              </w:rPr>
              <w:t xml:space="preserve">[Invoice Date Key], [Customer Key], and [Salesperson Key] are the columns most frequently used in WHERE clauses, GROUP BY operations, and JOIN conditions across all views and queries. Indexing them reduces query execution cost directly proportional to the performance of every view that Power BI reads from.</w:t>
            </w:r>
          </w:p>
        </w:tc>
      </w:tr>
    </w:tbl>
    <w:p>
      <w:pPr>
        <w:spacing w:before="0" w:after="80"/>
      </w:pPr>
      <w:r>
        <w:rPr>
          <w:rFonts w:ascii="Arial" w:cs="Arial" w:eastAsia="Arial" w:hAnsi="Arial"/>
          <w:b w:val="false"/>
          <w:bCs w:val="false"/>
          <w:i w:val="false"/>
          <w:iCs w:val="false"/>
          <w:color w:val="1A1A1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9A84C" w:val="clear"/>
            <w:tcMar>
              <w:top w:type="dxa" w:w="100"/>
              <w:left w:type="dxa" w:w="120"/>
              <w:bottom w:type="dxa" w:w="100"/>
              <w:right w:type="dxa" w:w="120"/>
            </w:tcMar>
          </w:tcPr>
          <w:p>
            <w:pPr>
              <w:jc w:val="center"/>
            </w:pPr>
            <w:r>
              <w:rPr>
                <w:rFonts w:ascii="Arial" w:cs="Arial" w:eastAsia="Arial" w:hAnsi="Arial"/>
                <w:b/>
                <w:bCs/>
                <w:i w:val="false"/>
                <w:iCs w:val="false"/>
                <w:color w:val="FFFFFF"/>
                <w:sz w:val="28"/>
                <w:szCs w:val="28"/>
              </w:rPr>
              <w:t xml:space="preserve">2</w:t>
            </w:r>
          </w:p>
        </w:tc>
        <w:tc>
          <w:tcPr>
            <w:tcW w:type="dxa" w:w="8640"/>
            <w:tcBorders>
              <w:top w:val="none" w:color="FFFFFF" w:sz="0"/>
              <w:left w:val="none" w:color="FFFFFF" w:sz="0"/>
              <w:bottom w:val="single" w:color="C9A84C" w:sz="3"/>
              <w:right w:val="none" w:color="FFFFFF" w:sz="0"/>
            </w:tcBorders>
            <w:shd w:fill="FAFAFA" w:val="clear"/>
            <w:tcMar>
              <w:top w:type="dxa" w:w="80"/>
              <w:left w:type="dxa" w:w="160"/>
              <w:bottom w:type="dxa" w:w="80"/>
              <w:right w:type="dxa" w:w="120"/>
            </w:tcMar>
          </w:tcPr>
          <w:p>
            <w:pPr>
              <w:spacing w:before="0" w:after="20"/>
            </w:pPr>
            <w:r>
              <w:rPr>
                <w:rFonts w:ascii="Arial" w:cs="Arial" w:eastAsia="Arial" w:hAnsi="Arial"/>
                <w:b/>
                <w:bCs/>
                <w:i w:val="false"/>
                <w:iCs w:val="false"/>
                <w:color w:val="1F3864"/>
                <w:sz w:val="26"/>
                <w:szCs w:val="26"/>
              </w:rPr>
              <w:t xml:space="preserve">Views</w:t>
            </w:r>
          </w:p>
          <w:p>
            <w:pPr>
              <w:spacing w:before="0" w:after="0"/>
            </w:pPr>
            <w:r>
              <w:rPr>
                <w:rFonts w:ascii="Arial" w:cs="Arial" w:eastAsia="Arial" w:hAnsi="Arial"/>
                <w:b w:val="false"/>
                <w:bCs w:val="false"/>
                <w:i/>
                <w:iCs/>
                <w:color w:val="666666"/>
                <w:sz w:val="18"/>
                <w:szCs w:val="18"/>
              </w:rPr>
              <w:t xml:space="preserve">Three views — one active, two retained-inactive</w:t>
            </w:r>
          </w:p>
        </w:tc>
      </w:tr>
    </w:tbl>
    <w:p>
      <w:pPr>
        <w:spacing w:before="0" w:after="80"/>
      </w:pPr>
      <w:r>
        <w:rPr>
          <w:rFonts w:ascii="Arial" w:cs="Arial" w:eastAsia="Arial" w:hAnsi="Arial"/>
          <w:b w:val="false"/>
          <w:bCs w:val="false"/>
          <w:i w:val="false"/>
          <w:iCs w:val="false"/>
          <w:color w:val="1A1A1A"/>
          <w:sz w:val="20"/>
          <w:szCs w:val="20"/>
        </w:rPr>
        <w:t xml:space="preserve"/>
      </w:r>
    </w:p>
    <w:p>
      <w:pPr>
        <w:spacing w:before="40" w:after="100"/>
      </w:pPr>
      <w:r>
        <w:rPr>
          <w:rFonts w:ascii="Arial" w:cs="Arial" w:eastAsia="Arial" w:hAnsi="Arial"/>
          <w:b w:val="false"/>
          <w:bCs w:val="false"/>
          <w:i w:val="false"/>
          <w:iCs w:val="false"/>
          <w:color w:val="1A1A1A"/>
          <w:sz w:val="20"/>
          <w:szCs w:val="20"/>
        </w:rPr>
        <w:t xml:space="preserve">Three views were created. vw_Sales_Base is the only view consumed by Power BI. vw_Salesperson_KPI and vw_Territory_Sales are retained in the database for architectural completeness but are not active consumer-facing objects in the published report.</w:t>
      </w:r>
    </w:p>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2E75B6" w:sz="12"/>
              <w:bottom w:val="none" w:color="FFFFFF" w:sz="0"/>
              <w:right w:val="none" w:color="FFFFFF" w:sz="0"/>
            </w:tcBorders>
            <w:shd w:fill="EBF3FB" w:val="clear"/>
            <w:tcMar>
              <w:top w:type="dxa" w:w="80"/>
              <w:left w:type="dxa" w:w="160"/>
              <w:bottom w:type="dxa" w:w="80"/>
              <w:right w:type="dxa" w:w="120"/>
            </w:tcMar>
          </w:tcPr>
          <w:p>
            <w:pPr>
              <w:spacing w:before="40" w:after="40"/>
            </w:pPr>
            <w:r>
              <w:rPr>
                <w:rFonts w:ascii="Arial" w:cs="Arial" w:eastAsia="Arial" w:hAnsi="Arial"/>
                <w:b/>
                <w:bCs/>
                <w:i w:val="false"/>
                <w:iCs w:val="false"/>
                <w:color w:val="2E75B6"/>
                <w:sz w:val="19"/>
                <w:szCs w:val="19"/>
              </w:rPr>
              <w:t xml:space="preserve">Reason: </w:t>
            </w:r>
            <w:r>
              <w:rPr>
                <w:rFonts w:ascii="Arial" w:cs="Arial" w:eastAsia="Arial" w:hAnsi="Arial"/>
                <w:b w:val="false"/>
                <w:bCs w:val="false"/>
                <w:i w:val="false"/>
                <w:iCs w:val="false"/>
                <w:color w:val="1A1A1A"/>
                <w:sz w:val="19"/>
                <w:szCs w:val="19"/>
              </w:rPr>
              <w:t xml:space="preserve">Connecting Power BI to a view rather than the source table separates the presentation layer from the storage layer. Changes to column selection or logic are made once in the view definition and reflected automatically on next refresh with no changes required inside Power BI.</w:t>
            </w:r>
          </w:p>
        </w:tc>
      </w:tr>
    </w:tbl>
    <w:p>
      <w:pPr>
        <w:spacing w:before="0" w:after="80"/>
      </w:pPr>
      <w:r>
        <w:rPr>
          <w:rFonts w:ascii="Arial" w:cs="Arial" w:eastAsia="Arial" w:hAnsi="Arial"/>
          <w:b w:val="false"/>
          <w:bCs w:val="false"/>
          <w:i w:val="false"/>
          <w:iCs w:val="false"/>
          <w:color w:val="1A1A1A"/>
          <w:sz w:val="20"/>
          <w:szCs w:val="20"/>
        </w:rPr>
        <w:t xml:space="preserve"/>
      </w:r>
    </w:p>
    <w:p>
      <w:pPr>
        <w:pStyle w:val="Heading3"/>
        <w:spacing w:before="240" w:after="80"/>
      </w:pPr>
      <w:r>
        <w:rPr>
          <w:rFonts w:ascii="Arial" w:cs="Arial" w:eastAsia="Arial" w:hAnsi="Arial"/>
          <w:b/>
          <w:bCs/>
          <w:i w:val="false"/>
          <w:iCs w:val="false"/>
          <w:color w:val="2E75B6"/>
          <w:sz w:val="22"/>
          <w:szCs w:val="22"/>
        </w:rPr>
        <w:t xml:space="preserve">vw_Sales_Base</w:t>
      </w:r>
    </w:p>
    <w:p>
      <w:pPr>
        <w:spacing w:before="40" w:after="100"/>
      </w:pPr>
      <w:r>
        <w:rPr>
          <w:rFonts w:ascii="Arial" w:cs="Arial" w:eastAsia="Arial" w:hAnsi="Arial"/>
          <w:b w:val="false"/>
          <w:bCs w:val="false"/>
          <w:i w:val="false"/>
          <w:iCs w:val="false"/>
          <w:color w:val="1A1A1A"/>
          <w:sz w:val="20"/>
          <w:szCs w:val="20"/>
        </w:rPr>
        <w:t xml:space="preserve">The primary and only view consumed by Power BI. Exposes 12 of the 17 source columns with clean camelCase aliases. WITH SCHEMABINDING is applied — required by the SQL Server RLS security policy that references this view. InvoiceDateKey is the only date column — no derived date columns are included. dim_Date handles all date intelligence via the relationship.</w:t>
      </w:r>
    </w:p>
    <w:p>
      <w:pPr>
        <w:spacing w:before="0" w:after="80"/>
      </w:pPr>
      <w:r>
        <w:rPr>
          <w:rFonts w:ascii="Arial" w:cs="Arial" w:eastAsia="Arial" w:hAnsi="Arial"/>
          <w:b w:val="false"/>
          <w:bCs w:val="false"/>
          <w:i w:val="false"/>
          <w:iCs w:val="false"/>
          <w:color w:val="1A1A1A"/>
          <w:sz w:val="20"/>
          <w:szCs w:val="20"/>
        </w:rPr>
        <w:t xml:space="preserve"/>
      </w:r>
    </w:p>
    <w:p>
      <w:pPr>
        <w:pStyle w:val="Heading3"/>
        <w:spacing w:before="240" w:after="80"/>
      </w:pPr>
      <w:r>
        <w:rPr>
          <w:rFonts w:ascii="Arial" w:cs="Arial" w:eastAsia="Arial" w:hAnsi="Arial"/>
          <w:b/>
          <w:bCs/>
          <w:i w:val="false"/>
          <w:iCs w:val="false"/>
          <w:color w:val="2E75B6"/>
          <w:sz w:val="22"/>
          <w:szCs w:val="22"/>
        </w:rPr>
        <w:t xml:space="preserve">vw_Salesperson_KPI</w:t>
      </w:r>
    </w:p>
    <w:p>
      <w:pPr>
        <w:spacing w:before="40" w:after="100"/>
      </w:pPr>
      <w:r>
        <w:rPr>
          <w:rFonts w:ascii="Arial" w:cs="Arial" w:eastAsia="Arial" w:hAnsi="Arial"/>
          <w:b w:val="false"/>
          <w:bCs w:val="false"/>
          <w:i w:val="false"/>
          <w:iCs w:val="false"/>
          <w:color w:val="1A1A1A"/>
          <w:sz w:val="20"/>
          <w:szCs w:val="20"/>
        </w:rPr>
        <w:t xml:space="preserve">An annual per-salesperson performance view using a RANK() window function partitioned by InvoiceYear. Retained as a database-layer analytical endpoint for direct SQL access but not consumed by Power BI. Salesperson rankings in the report are handled by a RANKX DAX measure that responds dynamically to filter context — something a pre-aggregated SQL view cannot do.</w:t>
      </w:r>
    </w:p>
    <w:p>
      <w:pPr>
        <w:spacing w:before="0" w:after="80"/>
      </w:pPr>
      <w:r>
        <w:rPr>
          <w:rFonts w:ascii="Arial" w:cs="Arial" w:eastAsia="Arial" w:hAnsi="Arial"/>
          <w:b w:val="false"/>
          <w:bCs w:val="false"/>
          <w:i w:val="false"/>
          <w:iCs w:val="false"/>
          <w:color w:val="1A1A1A"/>
          <w:sz w:val="20"/>
          <w:szCs w:val="20"/>
        </w:rPr>
        <w:t xml:space="preserve"/>
      </w:r>
    </w:p>
    <w:p>
      <w:pPr>
        <w:pStyle w:val="Heading3"/>
        <w:spacing w:before="240" w:after="80"/>
      </w:pPr>
      <w:r>
        <w:rPr>
          <w:rFonts w:ascii="Arial" w:cs="Arial" w:eastAsia="Arial" w:hAnsi="Arial"/>
          <w:b/>
          <w:bCs/>
          <w:i w:val="false"/>
          <w:iCs w:val="false"/>
          <w:color w:val="2E75B6"/>
          <w:sz w:val="22"/>
          <w:szCs w:val="22"/>
        </w:rPr>
        <w:t xml:space="preserve">vw_Territory_Sales</w:t>
      </w:r>
    </w:p>
    <w:p>
      <w:pPr>
        <w:spacing w:before="40" w:after="100"/>
      </w:pPr>
      <w:r>
        <w:rPr>
          <w:rFonts w:ascii="Arial" w:cs="Arial" w:eastAsia="Arial" w:hAnsi="Arial"/>
          <w:b w:val="false"/>
          <w:bCs w:val="false"/>
          <w:i w:val="false"/>
          <w:iCs w:val="false"/>
          <w:color w:val="1A1A1A"/>
          <w:sz w:val="20"/>
          <w:szCs w:val="20"/>
        </w:rPr>
        <w:t xml:space="preserve">A bridge view exposing distinct CityKey, SalespersonKey, and CustomerKey combinations from dbo.Sale. Supports the SQL Server RLS predicate function. Both this view and the RLS policy are inactive by design — Power BI Import mode requires RLS to be enforced at the Power BI layer.</w:t>
      </w:r>
    </w:p>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760"/>
        <w:gridCol w:w="160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View</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Active in Power BI</w:t>
            </w:r>
          </w:p>
        </w:tc>
        <w:tc>
          <w:tcPr>
            <w:tcW w:type="dxa" w:w="3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Purpose</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Status</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vw_Sales_Base</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Yes</w:t>
            </w:r>
          </w:p>
        </w:tc>
        <w:tc>
          <w:tcPr>
            <w:tcW w:type="dxa" w:w="3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Primary Power BI connection — 12 columns, clean aliases, WITH SCHEMABINDING</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Active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vw_Salesperson_KPI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Annual salesperson rankings via RANK() window function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Retained — database-layer alternative to DAX RANKX</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vw_Territory_Sales</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No</w:t>
            </w:r>
          </w:p>
        </w:tc>
        <w:tc>
          <w:tcPr>
            <w:tcW w:type="dxa" w:w="3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RLS bridge — CityKey to territory linkage</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Retained — supports inactive SQL Server RLS policy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9A84C" w:val="clear"/>
            <w:tcMar>
              <w:top w:type="dxa" w:w="100"/>
              <w:left w:type="dxa" w:w="120"/>
              <w:bottom w:type="dxa" w:w="100"/>
              <w:right w:type="dxa" w:w="120"/>
            </w:tcMar>
          </w:tcPr>
          <w:p>
            <w:pPr>
              <w:jc w:val="center"/>
            </w:pPr>
            <w:r>
              <w:rPr>
                <w:rFonts w:ascii="Arial" w:cs="Arial" w:eastAsia="Arial" w:hAnsi="Arial"/>
                <w:b/>
                <w:bCs/>
                <w:i w:val="false"/>
                <w:iCs w:val="false"/>
                <w:color w:val="FFFFFF"/>
                <w:sz w:val="28"/>
                <w:szCs w:val="28"/>
              </w:rPr>
              <w:t xml:space="preserve">3</w:t>
            </w:r>
          </w:p>
        </w:tc>
        <w:tc>
          <w:tcPr>
            <w:tcW w:type="dxa" w:w="8640"/>
            <w:tcBorders>
              <w:top w:val="none" w:color="FFFFFF" w:sz="0"/>
              <w:left w:val="none" w:color="FFFFFF" w:sz="0"/>
              <w:bottom w:val="single" w:color="C9A84C" w:sz="3"/>
              <w:right w:val="none" w:color="FFFFFF" w:sz="0"/>
            </w:tcBorders>
            <w:shd w:fill="FAFAFA" w:val="clear"/>
            <w:tcMar>
              <w:top w:type="dxa" w:w="80"/>
              <w:left w:type="dxa" w:w="160"/>
              <w:bottom w:type="dxa" w:w="80"/>
              <w:right w:type="dxa" w:w="120"/>
            </w:tcMar>
          </w:tcPr>
          <w:p>
            <w:pPr>
              <w:spacing w:before="0" w:after="20"/>
            </w:pPr>
            <w:r>
              <w:rPr>
                <w:rFonts w:ascii="Arial" w:cs="Arial" w:eastAsia="Arial" w:hAnsi="Arial"/>
                <w:b/>
                <w:bCs/>
                <w:i w:val="false"/>
                <w:iCs w:val="false"/>
                <w:color w:val="1F3864"/>
                <w:sz w:val="26"/>
                <w:szCs w:val="26"/>
              </w:rPr>
              <w:t xml:space="preserve">Incremental Pipeline</w:t>
            </w:r>
          </w:p>
          <w:p>
            <w:pPr>
              <w:spacing w:before="0" w:after="0"/>
            </w:pPr>
            <w:r>
              <w:rPr>
                <w:rFonts w:ascii="Arial" w:cs="Arial" w:eastAsia="Arial" w:hAnsi="Arial"/>
                <w:b w:val="false"/>
                <w:bCs w:val="false"/>
                <w:i/>
                <w:iCs/>
                <w:color w:val="666666"/>
                <w:sz w:val="18"/>
                <w:szCs w:val="18"/>
              </w:rPr>
              <w:t xml:space="preserve">Three stored procedures — SOURCE → DEV → PROD</w:t>
            </w:r>
          </w:p>
        </w:tc>
      </w:tr>
    </w:tbl>
    <w:p>
      <w:pPr>
        <w:spacing w:before="0" w:after="80"/>
      </w:pPr>
      <w:r>
        <w:rPr>
          <w:rFonts w:ascii="Arial" w:cs="Arial" w:eastAsia="Arial" w:hAnsi="Arial"/>
          <w:b w:val="false"/>
          <w:bCs w:val="false"/>
          <w:i w:val="false"/>
          <w:iCs w:val="false"/>
          <w:color w:val="1A1A1A"/>
          <w:sz w:val="20"/>
          <w:szCs w:val="20"/>
        </w:rPr>
        <w:t xml:space="preserve"/>
      </w:r>
    </w:p>
    <w:p>
      <w:pPr>
        <w:spacing w:before="40" w:after="100"/>
      </w:pPr>
      <w:r>
        <w:rPr>
          <w:rFonts w:ascii="Arial" w:cs="Arial" w:eastAsia="Arial" w:hAnsi="Arial"/>
          <w:b w:val="false"/>
          <w:bCs w:val="false"/>
          <w:i w:val="false"/>
          <w:iCs w:val="false"/>
          <w:color w:val="1A1A1A"/>
          <w:sz w:val="20"/>
          <w:szCs w:val="20"/>
        </w:rPr>
        <w:t xml:space="preserve">Three stored procedures implement the complete incremental data pipeline. The pipeline is fully automated — no manual checking is required at any stage. Running sp_LoadLatestMonthToDEV followed by sp_PromoteDEVtoPROD constitutes a complete pipeline cycle.</w:t>
      </w:r>
    </w:p>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Procedure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Runs from</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Purpose</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sp_LoadLatestMonthToDEV</w:t>
            </w:r>
          </w:p>
        </w:tc>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MechmanRetail_DEV</w:t>
            </w:r>
          </w:p>
        </w:tc>
        <w:tc>
          <w:tcPr>
            <w:tcW w:type="dxa" w:w="4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Detects latest month in SOURCE not in PROD. Stages it into DEV.</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sp_EnvironmentHealthCheck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Any database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Read-only diagnostic. Returns detailed counts and PASS/FAIL summary.</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sp_PromoteDEVtoPROD</w:t>
            </w:r>
          </w:p>
        </w:tc>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MechmanRetail_DEV</w:t>
            </w:r>
          </w:p>
        </w:tc>
        <w:tc>
          <w:tcPr>
            <w:tcW w:type="dxa" w:w="4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Validates DEV, detects new months, promotes to PROD incrementally.</w:t>
            </w:r>
          </w:p>
        </w:tc>
      </w:tr>
    </w:tbl>
    <w:p>
      <w:pPr>
        <w:spacing w:before="0" w:after="80"/>
      </w:pPr>
      <w:r>
        <w:rPr>
          <w:rFonts w:ascii="Arial" w:cs="Arial" w:eastAsia="Arial" w:hAnsi="Arial"/>
          <w:b w:val="false"/>
          <w:bCs w:val="false"/>
          <w:i w:val="false"/>
          <w:iCs w:val="false"/>
          <w:color w:val="1A1A1A"/>
          <w:sz w:val="20"/>
          <w:szCs w:val="20"/>
        </w:rPr>
        <w:t xml:space="preserve"/>
      </w:r>
    </w:p>
    <w:p>
      <w:pPr>
        <w:pStyle w:val="Heading3"/>
        <w:spacing w:before="240" w:after="80"/>
      </w:pPr>
      <w:r>
        <w:rPr>
          <w:rFonts w:ascii="Arial" w:cs="Arial" w:eastAsia="Arial" w:hAnsi="Arial"/>
          <w:b/>
          <w:bCs/>
          <w:i w:val="false"/>
          <w:iCs w:val="false"/>
          <w:color w:val="2E75B6"/>
          <w:sz w:val="22"/>
          <w:szCs w:val="22"/>
        </w:rPr>
        <w:t xml:space="preserve">sp_LoadLatestMonthToDEV</w:t>
      </w:r>
    </w:p>
    <w:p>
      <w:pPr>
        <w:spacing w:before="40" w:after="100"/>
      </w:pPr>
      <w:r>
        <w:rPr>
          <w:rFonts w:ascii="Arial" w:cs="Arial" w:eastAsia="Arial" w:hAnsi="Arial"/>
          <w:b w:val="false"/>
          <w:bCs w:val="false"/>
          <w:i w:val="false"/>
          <w:iCs w:val="false"/>
          <w:color w:val="1A1A1A"/>
          <w:sz w:val="20"/>
          <w:szCs w:val="20"/>
        </w:rPr>
        <w:t xml:space="preserve">The entry point of the pipeline. Compares MechmanRetail_SOURCE against MechmanRetail_PROD at month-level granularity to find the latest year-month combination in SOURCE that does not yet exist in PROD. If no new months are found it exits cleanly with no changes. If a new month is found it truncates DEV — since DEV holds one month at a time — and loads only that month's rows from SOURCE into DEV. Returns a summary showing the staged year, month, and row count.</w:t>
      </w:r>
    </w:p>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2E75B6" w:sz="12"/>
              <w:bottom w:val="none" w:color="FFFFFF" w:sz="0"/>
              <w:right w:val="none" w:color="FFFFFF" w:sz="0"/>
            </w:tcBorders>
            <w:shd w:fill="EBF3FB" w:val="clear"/>
            <w:tcMar>
              <w:top w:type="dxa" w:w="80"/>
              <w:left w:type="dxa" w:w="160"/>
              <w:bottom w:type="dxa" w:w="80"/>
              <w:right w:type="dxa" w:w="120"/>
            </w:tcMar>
          </w:tcPr>
          <w:p>
            <w:pPr>
              <w:spacing w:before="40" w:after="40"/>
            </w:pPr>
            <w:r>
              <w:rPr>
                <w:rFonts w:ascii="Arial" w:cs="Arial" w:eastAsia="Arial" w:hAnsi="Arial"/>
                <w:b/>
                <w:bCs/>
                <w:i w:val="false"/>
                <w:iCs w:val="false"/>
                <w:color w:val="2E75B6"/>
                <w:sz w:val="19"/>
                <w:szCs w:val="19"/>
              </w:rPr>
              <w:t xml:space="preserve">Reason: </w:t>
            </w:r>
            <w:r>
              <w:rPr>
                <w:rFonts w:ascii="Arial" w:cs="Arial" w:eastAsia="Arial" w:hAnsi="Arial"/>
                <w:b w:val="false"/>
                <w:bCs w:val="false"/>
                <w:i w:val="false"/>
                <w:iCs w:val="false"/>
                <w:color w:val="1A1A1A"/>
                <w:sz w:val="19"/>
                <w:szCs w:val="19"/>
              </w:rPr>
              <w:t xml:space="preserve">Comparing SOURCE against PROD rather than SOURCE against DEV is deliberate. DEV is a temporary staging area that gets overwritten each cycle — it is not a reliable reference for what has already been processed. PROD is the authoritative record of what data has been successfully validated and promoted. The month-level comparison means the pipeline detects new data without requiring row-by-row comparison across potentially hundreds of thousands of records.</w:t>
            </w:r>
          </w:p>
        </w:tc>
      </w:tr>
    </w:tbl>
    <w:p>
      <w:pPr>
        <w:spacing w:before="0" w:after="80"/>
      </w:pPr>
      <w:r>
        <w:rPr>
          <w:rFonts w:ascii="Arial" w:cs="Arial" w:eastAsia="Arial" w:hAnsi="Arial"/>
          <w:b w:val="false"/>
          <w:bCs w:val="false"/>
          <w:i w:val="false"/>
          <w:iCs w:val="false"/>
          <w:color w:val="1A1A1A"/>
          <w:sz w:val="20"/>
          <w:szCs w:val="20"/>
        </w:rPr>
        <w:t xml:space="preserve"/>
      </w:r>
    </w:p>
    <w:p>
      <w:pPr>
        <w:pStyle w:val="Heading3"/>
        <w:spacing w:before="240" w:after="80"/>
      </w:pPr>
      <w:r>
        <w:rPr>
          <w:rFonts w:ascii="Arial" w:cs="Arial" w:eastAsia="Arial" w:hAnsi="Arial"/>
          <w:b/>
          <w:bCs/>
          <w:i w:val="false"/>
          <w:iCs w:val="false"/>
          <w:color w:val="2E75B6"/>
          <w:sz w:val="22"/>
          <w:szCs w:val="22"/>
        </w:rPr>
        <w:t xml:space="preserve">sp_EnvironmentHealthCheck</w:t>
      </w:r>
    </w:p>
    <w:p>
      <w:pPr>
        <w:spacing w:before="40" w:after="100"/>
      </w:pPr>
      <w:r>
        <w:rPr>
          <w:rFonts w:ascii="Arial" w:cs="Arial" w:eastAsia="Arial" w:hAnsi="Arial"/>
          <w:b w:val="false"/>
          <w:bCs w:val="false"/>
          <w:i w:val="false"/>
          <w:iCs w:val="false"/>
          <w:color w:val="1A1A1A"/>
          <w:sz w:val="20"/>
          <w:szCs w:val="20"/>
        </w:rPr>
        <w:t xml:space="preserve">A read-only diagnostic procedure that runs against whichever database it is executed from. Returns two result sets — a detailed diagnostic row showing row count, date range, null counts per key column, revenue total, profit total, and duplicate Sale Key count, followed by a PASS/FAIL summary row for each check. Used manually before and after pipeline execution to inspect database state. Not called internally by sp_PromoteDEVtoPROD — inline validation is used there instead to avoid multi-result-set capture complications with INSERT EXEC.</w:t>
      </w:r>
    </w:p>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2E75B6" w:sz="12"/>
              <w:bottom w:val="none" w:color="FFFFFF" w:sz="0"/>
              <w:right w:val="none" w:color="FFFFFF" w:sz="0"/>
            </w:tcBorders>
            <w:shd w:fill="EBF3FB" w:val="clear"/>
            <w:tcMar>
              <w:top w:type="dxa" w:w="80"/>
              <w:left w:type="dxa" w:w="160"/>
              <w:bottom w:type="dxa" w:w="80"/>
              <w:right w:type="dxa" w:w="120"/>
            </w:tcMar>
          </w:tcPr>
          <w:p>
            <w:pPr>
              <w:spacing w:before="40" w:after="40"/>
            </w:pPr>
            <w:r>
              <w:rPr>
                <w:rFonts w:ascii="Arial" w:cs="Arial" w:eastAsia="Arial" w:hAnsi="Arial"/>
                <w:b/>
                <w:bCs/>
                <w:i w:val="false"/>
                <w:iCs w:val="false"/>
                <w:color w:val="2E75B6"/>
                <w:sz w:val="19"/>
                <w:szCs w:val="19"/>
              </w:rPr>
              <w:t xml:space="preserve">Reason: </w:t>
            </w:r>
            <w:r>
              <w:rPr>
                <w:rFonts w:ascii="Arial" w:cs="Arial" w:eastAsia="Arial" w:hAnsi="Arial"/>
                <w:b w:val="false"/>
                <w:bCs w:val="false"/>
                <w:i w:val="false"/>
                <w:iCs w:val="false"/>
                <w:color w:val="1A1A1A"/>
                <w:sz w:val="19"/>
                <w:szCs w:val="19"/>
              </w:rPr>
              <w:t xml:space="preserve">sp_EnvironmentHealthCheck is a human-facing reporting tool designed for manual inspection in SSMS. Its two result sets — the diagnostic detail and the PASS/FAIL summary — serve a report reviewer who wants to understand the full database state. sp_PromoteDEVtoPROD is an automated decision tool that needs only to evaluate conditions and act on them — inline validation serves that purpose more reliably without the INSERT EXEC multi-result-set limitation.</w:t>
            </w:r>
          </w:p>
        </w:tc>
      </w:tr>
    </w:tbl>
    <w:p>
      <w:pPr>
        <w:spacing w:before="0" w:after="80"/>
      </w:pPr>
      <w:r>
        <w:rPr>
          <w:rFonts w:ascii="Arial" w:cs="Arial" w:eastAsia="Arial" w:hAnsi="Arial"/>
          <w:b w:val="false"/>
          <w:bCs w:val="false"/>
          <w:i w:val="false"/>
          <w:iCs w:val="false"/>
          <w:color w:val="1A1A1A"/>
          <w:sz w:val="20"/>
          <w:szCs w:val="20"/>
        </w:rPr>
        <w:t xml:space="preserve"/>
      </w:r>
    </w:p>
    <w:p>
      <w:pPr>
        <w:pStyle w:val="Heading3"/>
        <w:spacing w:before="240" w:after="80"/>
      </w:pPr>
      <w:r>
        <w:rPr>
          <w:rFonts w:ascii="Arial" w:cs="Arial" w:eastAsia="Arial" w:hAnsi="Arial"/>
          <w:b/>
          <w:bCs/>
          <w:i w:val="false"/>
          <w:iCs w:val="false"/>
          <w:color w:val="2E75B6"/>
          <w:sz w:val="22"/>
          <w:szCs w:val="22"/>
        </w:rPr>
        <w:t xml:space="preserve">sp_PromoteDEVtoPROD</w:t>
      </w:r>
    </w:p>
    <w:p>
      <w:pPr>
        <w:spacing w:before="40" w:after="100"/>
      </w:pPr>
      <w:r>
        <w:rPr>
          <w:rFonts w:ascii="Arial" w:cs="Arial" w:eastAsia="Arial" w:hAnsi="Arial"/>
          <w:b w:val="false"/>
          <w:bCs w:val="false"/>
          <w:i w:val="false"/>
          <w:iCs w:val="false"/>
          <w:color w:val="1A1A1A"/>
          <w:sz w:val="20"/>
          <w:szCs w:val="20"/>
        </w:rPr>
        <w:t xml:space="preserve">Promotes data from MechmanRetail_DEV to MechmanRetail_PROD incrementally. Executes in seven steps: inline health check on DEV before touching PROD, detection of new months in DEV not present in PROD at month-level granularity, clean exit if no new months are found, incremental INSERT of new months into PROD inside a transaction, row count validation confirming PROD increased by exactly the inserted rows, inline health check on PROD after promotion, and a final success report. Historical PROD data is never modified — only new months are inserted.</w:t>
      </w:r>
    </w:p>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2E75B6" w:sz="12"/>
              <w:bottom w:val="none" w:color="FFFFFF" w:sz="0"/>
              <w:right w:val="none" w:color="FFFFFF" w:sz="0"/>
            </w:tcBorders>
            <w:shd w:fill="EBF3FB" w:val="clear"/>
            <w:tcMar>
              <w:top w:type="dxa" w:w="80"/>
              <w:left w:type="dxa" w:w="160"/>
              <w:bottom w:type="dxa" w:w="80"/>
              <w:right w:type="dxa" w:w="120"/>
            </w:tcMar>
          </w:tcPr>
          <w:p>
            <w:pPr>
              <w:spacing w:before="40" w:after="40"/>
            </w:pPr>
            <w:r>
              <w:rPr>
                <w:rFonts w:ascii="Arial" w:cs="Arial" w:eastAsia="Arial" w:hAnsi="Arial"/>
                <w:b/>
                <w:bCs/>
                <w:i w:val="false"/>
                <w:iCs w:val="false"/>
                <w:color w:val="2E75B6"/>
                <w:sz w:val="19"/>
                <w:szCs w:val="19"/>
              </w:rPr>
              <w:t xml:space="preserve">Reason: </w:t>
            </w:r>
            <w:r>
              <w:rPr>
                <w:rFonts w:ascii="Arial" w:cs="Arial" w:eastAsia="Arial" w:hAnsi="Arial"/>
                <w:b w:val="false"/>
                <w:bCs w:val="false"/>
                <w:i w:val="false"/>
                <w:iCs w:val="false"/>
                <w:color w:val="1A1A1A"/>
                <w:sz w:val="19"/>
                <w:szCs w:val="19"/>
              </w:rPr>
              <w:t xml:space="preserve">Inline validation inside sp_PromoteDEVtoPROD rather than calling sp_EnvironmentHealthCheck via INSERT EXEC avoids the multi-result-set capture problem — SQL Server's INSERT EXEC only captures the first result set from a called procedure, which would cause a column mismatch error. Inline validation reads directly from the Sale table with no intermediary, achieving identical validation logic without the limitation. The @ExpectedRows variable is declared separately before the RAISERROR call to avoid inline arithmetic inside RAISERROR argument positions which causes a syntax error in SQL Server.</w:t>
            </w:r>
          </w:p>
        </w:tc>
      </w:tr>
    </w:tbl>
    <w:p>
      <w:pPr>
        <w:spacing w:before="0" w:after="80"/>
      </w:pPr>
      <w:r>
        <w:rPr>
          <w:rFonts w:ascii="Arial" w:cs="Arial" w:eastAsia="Arial" w:hAnsi="Arial"/>
          <w:b w:val="false"/>
          <w:bCs w:val="false"/>
          <w:i w:val="false"/>
          <w:iCs w:val="false"/>
          <w:color w:val="1A1A1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9A84C" w:val="clear"/>
            <w:tcMar>
              <w:top w:type="dxa" w:w="100"/>
              <w:left w:type="dxa" w:w="120"/>
              <w:bottom w:type="dxa" w:w="100"/>
              <w:right w:type="dxa" w:w="120"/>
            </w:tcMar>
          </w:tcPr>
          <w:p>
            <w:pPr>
              <w:jc w:val="center"/>
            </w:pPr>
            <w:r>
              <w:rPr>
                <w:rFonts w:ascii="Arial" w:cs="Arial" w:eastAsia="Arial" w:hAnsi="Arial"/>
                <w:b/>
                <w:bCs/>
                <w:i w:val="false"/>
                <w:iCs w:val="false"/>
                <w:color w:val="FFFFFF"/>
                <w:sz w:val="28"/>
                <w:szCs w:val="28"/>
              </w:rPr>
              <w:t xml:space="preserve">4</w:t>
            </w:r>
          </w:p>
        </w:tc>
        <w:tc>
          <w:tcPr>
            <w:tcW w:type="dxa" w:w="8640"/>
            <w:tcBorders>
              <w:top w:val="none" w:color="FFFFFF" w:sz="0"/>
              <w:left w:val="none" w:color="FFFFFF" w:sz="0"/>
              <w:bottom w:val="single" w:color="C9A84C" w:sz="3"/>
              <w:right w:val="none" w:color="FFFFFF" w:sz="0"/>
            </w:tcBorders>
            <w:shd w:fill="FAFAFA" w:val="clear"/>
            <w:tcMar>
              <w:top w:type="dxa" w:w="80"/>
              <w:left w:type="dxa" w:w="160"/>
              <w:bottom w:type="dxa" w:w="80"/>
              <w:right w:type="dxa" w:w="120"/>
            </w:tcMar>
          </w:tcPr>
          <w:p>
            <w:pPr>
              <w:spacing w:before="0" w:after="20"/>
            </w:pPr>
            <w:r>
              <w:rPr>
                <w:rFonts w:ascii="Arial" w:cs="Arial" w:eastAsia="Arial" w:hAnsi="Arial"/>
                <w:b/>
                <w:bCs/>
                <w:i w:val="false"/>
                <w:iCs w:val="false"/>
                <w:color w:val="1F3864"/>
                <w:sz w:val="26"/>
                <w:szCs w:val="26"/>
              </w:rPr>
              <w:t xml:space="preserve">Row Level Security</w:t>
            </w:r>
          </w:p>
          <w:p>
            <w:pPr>
              <w:spacing w:before="0" w:after="0"/>
            </w:pPr>
            <w:r>
              <w:rPr>
                <w:rFonts w:ascii="Arial" w:cs="Arial" w:eastAsia="Arial" w:hAnsi="Arial"/>
                <w:b w:val="false"/>
                <w:bCs w:val="false"/>
                <w:i/>
                <w:iCs/>
                <w:color w:val="666666"/>
                <w:sz w:val="18"/>
                <w:szCs w:val="18"/>
              </w:rPr>
              <w:t xml:space="preserve">Designed — not activated</w:t>
            </w:r>
          </w:p>
        </w:tc>
      </w:tr>
    </w:tbl>
    <w:p>
      <w:pPr>
        <w:spacing w:before="0" w:after="80"/>
      </w:pPr>
      <w:r>
        <w:rPr>
          <w:rFonts w:ascii="Arial" w:cs="Arial" w:eastAsia="Arial" w:hAnsi="Arial"/>
          <w:b w:val="false"/>
          <w:bCs w:val="false"/>
          <w:i w:val="false"/>
          <w:iCs w:val="false"/>
          <w:color w:val="1A1A1A"/>
          <w:sz w:val="20"/>
          <w:szCs w:val="20"/>
        </w:rPr>
        <w:t xml:space="preserve"/>
      </w:r>
    </w:p>
    <w:p>
      <w:pPr>
        <w:spacing w:before="40" w:after="100"/>
      </w:pPr>
      <w:r>
        <w:rPr>
          <w:rFonts w:ascii="Arial" w:cs="Arial" w:eastAsia="Arial" w:hAnsi="Arial"/>
          <w:b w:val="false"/>
          <w:bCs w:val="false"/>
          <w:i w:val="false"/>
          <w:iCs w:val="false"/>
          <w:color w:val="1A1A1A"/>
          <w:sz w:val="20"/>
          <w:szCs w:val="20"/>
        </w:rPr>
        <w:t xml:space="preserve">A SQL Server Row Level Security policy was designed and created in MechmanRetail_PROD in a disabled state. Nine database users were created WITHOUT LOGIN — one per sales territory manager plus BI_Admin — for RLS testing and demonstration without requiring Windows accounts or SQL logins. SELECT was granted on dbo.vw_Sales_Base only. The predicate function fn_SalesTerritoryPredicate was created with WITH SCHEMABINDING and includes an admin bypass for BI_Admin and db_owner members. The territory CityKey mapping logic is documented as a placeholder — the policy is inactive and the mapping is intentionally deferred. The security policy SalesTerritoryPolicy was created with STATE = OFF.</w:t>
      </w:r>
    </w:p>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2E75B6" w:sz="12"/>
              <w:bottom w:val="none" w:color="FFFFFF" w:sz="0"/>
              <w:right w:val="none" w:color="FFFFFF" w:sz="0"/>
            </w:tcBorders>
            <w:shd w:fill="EBF3FB" w:val="clear"/>
            <w:tcMar>
              <w:top w:type="dxa" w:w="80"/>
              <w:left w:type="dxa" w:w="160"/>
              <w:bottom w:type="dxa" w:w="80"/>
              <w:right w:type="dxa" w:w="120"/>
            </w:tcMar>
          </w:tcPr>
          <w:p>
            <w:pPr>
              <w:spacing w:before="40" w:after="40"/>
            </w:pPr>
            <w:r>
              <w:rPr>
                <w:rFonts w:ascii="Arial" w:cs="Arial" w:eastAsia="Arial" w:hAnsi="Arial"/>
                <w:b/>
                <w:bCs/>
                <w:i w:val="false"/>
                <w:iCs w:val="false"/>
                <w:color w:val="2E75B6"/>
                <w:sz w:val="19"/>
                <w:szCs w:val="19"/>
              </w:rPr>
              <w:t xml:space="preserve">Reason: </w:t>
            </w:r>
            <w:r>
              <w:rPr>
                <w:rFonts w:ascii="Arial" w:cs="Arial" w:eastAsia="Arial" w:hAnsi="Arial"/>
                <w:b w:val="false"/>
                <w:bCs w:val="false"/>
                <w:i w:val="false"/>
                <w:iCs w:val="false"/>
                <w:color w:val="1A1A1A"/>
                <w:sz w:val="19"/>
                <w:szCs w:val="19"/>
              </w:rPr>
              <w:t xml:space="preserve">Power BI connects in Import mode — the refresh runs as the service account, not as individual end users. SQL Server RLS cannot enforce per-user filtering in this mode. RLS is enforced entirely within Power BI using USERPRINCIPALNAME() matched against dim_Employee[Email] with PATH() and PATHCONTAINS() traversing ParentEmployeeKey for hierarchy-aware manager access. The SQL Server policy is retained as a defence-in-depth measure that can be activated with a single ALTER SECURITY POLICY statement if the architecture changes to DirectQuery mode or if users are granted direct database access.</w:t>
            </w:r>
          </w:p>
        </w:tc>
      </w:tr>
    </w:tbl>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Item</w:t>
            </w:r>
          </w:p>
        </w:tc>
        <w:tc>
          <w:tcPr>
            <w:tcW w:type="dxa" w:w="6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Detail</w:t>
            </w:r>
          </w:p>
        </w:tc>
      </w:tr>
      <w:tr>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Users</w:t>
            </w:r>
          </w:p>
        </w:tc>
        <w:tc>
          <w:tcPr>
            <w:tcW w:type="dxa" w:w="6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9 — Southeast_Manager, Mideast_Manager, Southwest_Manager, Plains_Manager, GreatLakes_Manager, FarWest_Manager, RockyMountain_Manager, NewEngland_Manager, BI_Admin. All WITHOUT LOGIN.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GRANT target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dbo.vw_Sales_Base only</w:t>
            </w:r>
          </w:p>
        </w:tc>
      </w:tr>
      <w:tr>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Predicate</w:t>
            </w:r>
          </w:p>
        </w:tc>
        <w:tc>
          <w:tcPr>
            <w:tcW w:type="dxa" w:w="6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fn_SalesTerritoryPredicate — WITH SCHEMABINDING. Admin bypass: USER_NAME() IN (BI_Admin, dbo) OR IS_MEMBER(db_owner) = 1.</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Territory mapping</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OR 1 = 1 placeholder — replace with real CityKey mappings if activating</w:t>
            </w:r>
          </w:p>
        </w:tc>
      </w:tr>
      <w:tr>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Policy state</w:t>
            </w:r>
          </w:p>
        </w:tc>
        <w:tc>
          <w:tcPr>
            <w:tcW w:type="dxa" w:w="6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STATE = OFF — intentional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To activate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ALTER SECURITY POLICY dbo.SalesTerritoryPolicy WITH (STATE = ON)</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2"/>
      </w:pBdr>
      <w:spacing w:before="80"/>
      <w:jc w:val="center"/>
    </w:pPr>
    <w:r>
      <w:rPr>
        <w:rFonts w:ascii="Arial" w:cs="Arial" w:eastAsia="Arial" w:hAnsi="Arial"/>
        <w:b w:val="false"/>
        <w:bCs w:val="false"/>
        <w:i w:val="false"/>
        <w:iCs w:val="false"/>
        <w:color w:val="888888"/>
        <w:sz w:val="17"/>
        <w:szCs w:val="17"/>
      </w:rPr>
      <w:t xml:space="preserve">Phase 1 Narrative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9360"/>
      </w:tabs>
      <w:spacing w:before="0" w:after="80"/>
    </w:pPr>
    <w:r>
      <w:rPr>
        <w:rFonts w:ascii="Arial" w:cs="Arial" w:eastAsia="Arial" w:hAnsi="Arial"/>
        <w:b/>
        <w:bCs/>
        <w:i w:val="false"/>
        <w:iCs w:val="false"/>
        <w:color w:val="1F3864"/>
        <w:sz w:val="17"/>
        <w:szCs w:val="17"/>
      </w:rPr>
      <w:t xml:space="preserve">MechmanRetail — Phase 1: SQL Server Documentation</w:t>
    </w:r>
    <w:r>
      <w:rPr>
        <w:sz w:val="17"/>
        <w:szCs w:val="17"/>
      </w:rPr>
      <w:t xml:space="preserve">	</w:t>
    </w:r>
    <w:r>
      <w:rPr>
        <w:rFonts w:ascii="Arial" w:cs="Arial" w:eastAsia="Arial" w:hAnsi="Arial"/>
        <w:b w:val="false"/>
        <w:bCs w:val="false"/>
        <w:i w:val="false"/>
        <w:iCs w:val="false"/>
        <w:color w:val="666666"/>
        <w:sz w:val="17"/>
        <w:szCs w:val="17"/>
      </w:rPr>
      <w:t xml:space="preserve">Adiga Triumphant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20" w:after="120"/>
      <w:outlineLvl w:val="1"/>
    </w:pPr>
    <w:rPr>
      <w:rFonts w:ascii="Arial" w:cs="Arial" w:eastAsia="Arial" w:hAnsi="Arial"/>
      <w:b/>
      <w:bCs/>
      <w:color w:val="1F3864"/>
      <w:sz w:val="26"/>
      <w:szCs w:val="26"/>
    </w:rPr>
  </w:style>
  <w:style w:type="paragraph" w:styleId="Heading3">
    <w:name w:val="Heading 3"/>
    <w:basedOn w:val="Normal"/>
    <w:next w:val="Normal"/>
    <w:qFormat/>
    <w:pPr>
      <w:spacing w:before="24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2026-03-27T14:45:40.209Z</dcterms:created>
  <dcterms:modified xsi:type="dcterms:W3CDTF">2026-03-27T14:45:40.209Z</dcterms:modified>
</cp:coreProperties>
</file>

<file path=docProps/custom.xml><?xml version="1.0" encoding="utf-8"?>
<Properties xmlns="http://schemas.openxmlformats.org/officeDocument/2006/custom-properties" xmlns:vt="http://schemas.openxmlformats.org/officeDocument/2006/docPropsVTypes"/>
</file>