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160"/>
        <w:jc w:val="center"/>
      </w:pPr>
      <w:r>
        <w:rPr>
          <w:rFonts w:ascii="Arial" w:cs="Arial" w:eastAsia="Arial" w:hAnsi="Arial"/>
          <w:b/>
          <w:bCs/>
          <w:i w:val="false"/>
          <w:iCs w:val="false"/>
          <w:color w:val="1F3864"/>
          <w:sz w:val="56"/>
          <w:szCs w:val="56"/>
        </w:rPr>
        <w:t xml:space="preserve">MechmanRetail</w:t>
      </w:r>
    </w:p>
    <w:p>
      <w:pPr>
        <w:spacing w:before="0" w:after="80"/>
        <w:jc w:val="center"/>
      </w:pPr>
      <w:r>
        <w:rPr>
          <w:rFonts w:ascii="Arial" w:cs="Arial" w:eastAsia="Arial" w:hAnsi="Arial"/>
          <w:b/>
          <w:bCs/>
          <w:i w:val="false"/>
          <w:iCs w:val="false"/>
          <w:color w:val="2E75B6"/>
          <w:sz w:val="36"/>
          <w:szCs w:val="36"/>
        </w:rPr>
        <w:t xml:space="preserve">BI Portfolio Project</w:t>
      </w:r>
    </w:p>
    <w:p>
      <w:pPr>
        <w:spacing w:before="0" w:after="320"/>
        <w:jc w:val="center"/>
      </w:pPr>
      <w:r>
        <w:rPr>
          <w:rFonts w:ascii="Arial" w:cs="Arial" w:eastAsia="Arial" w:hAnsi="Arial"/>
          <w:b w:val="false"/>
          <w:bCs w:val="false"/>
          <w:i w:val="false"/>
          <w:iCs w:val="false"/>
          <w:color w:val="444444"/>
          <w:sz w:val="24"/>
          <w:szCs w:val="24"/>
        </w:rPr>
        <w:t xml:space="preserve">Phase 2: Power Query — Transformation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spacing w:before="40" w:after="60"/>
              <w:jc w:val="center"/>
            </w:pPr>
            <w:r>
              <w:rPr>
                <w:rFonts w:ascii="Arial" w:cs="Arial" w:eastAsia="Arial" w:hAnsi="Arial"/>
                <w:b/>
                <w:bCs/>
                <w:i w:val="false"/>
                <w:iCs w:val="false"/>
                <w:color w:val="1F3864"/>
                <w:sz w:val="22"/>
                <w:szCs w:val="22"/>
              </w:rPr>
              <w:t xml:space="preserve">Author: Adiga Triumphant</w:t>
            </w:r>
          </w:p>
          <w:p>
            <w:pPr>
              <w:spacing w:before="0" w:after="40"/>
              <w:jc w:val="center"/>
            </w:pPr>
            <w:r>
              <w:rPr>
                <w:rFonts w:ascii="Arial" w:cs="Arial" w:eastAsia="Arial" w:hAnsi="Arial"/>
                <w:b w:val="false"/>
                <w:bCs w:val="false"/>
                <w:i w:val="false"/>
                <w:iCs w:val="false"/>
                <w:color w:val="444444"/>
                <w:sz w:val="20"/>
                <w:szCs w:val="20"/>
              </w:rPr>
              <w:t xml:space="preserve">Tool: Power BI Desktop — Power Query Editor</w:t>
            </w:r>
          </w:p>
          <w:p>
            <w:pPr>
              <w:spacing w:before="0" w:after="40"/>
              <w:jc w:val="center"/>
            </w:pPr>
            <w:r>
              <w:rPr>
                <w:rFonts w:ascii="Arial" w:cs="Arial" w:eastAsia="Arial" w:hAnsi="Arial"/>
                <w:b w:val="false"/>
                <w:bCs w:val="false"/>
                <w:i/>
                <w:iCs/>
                <w:color w:val="666666"/>
                <w:sz w:val="19"/>
                <w:szCs w:val="19"/>
              </w:rPr>
              <w:t xml:space="preserve">Queries: 9  ·  Sources: SQL Server, Excel, CSV, Folder</w:t>
            </w:r>
          </w:p>
        </w:tc>
      </w:tr>
    </w:tbl>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Project Overview</w:t>
      </w:r>
    </w:p>
    <w:p>
      <w:pPr>
        <w:spacing w:before="40" w:after="100"/>
      </w:pPr>
      <w:r>
        <w:rPr>
          <w:rFonts w:ascii="Arial" w:cs="Arial" w:eastAsia="Arial" w:hAnsi="Arial"/>
          <w:b w:val="false"/>
          <w:bCs w:val="false"/>
          <w:i w:val="false"/>
          <w:iCs w:val="false"/>
          <w:color w:val="1A1A1A"/>
          <w:sz w:val="20"/>
          <w:szCs w:val="20"/>
        </w:rPr>
        <w:t xml:space="preserve">This document records the data transformation work completed in Power Query Editor. It covers all nine queries built — their sources, transformation decisions, data quality issues encountered, and the reasoning behind each resolution. The output is a clean star schema model ready for the modelling and DAX phases.</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Connection Architecture — Parameters</w:t>
      </w:r>
    </w:p>
    <w:p>
      <w:pPr>
        <w:spacing w:before="40" w:after="100"/>
      </w:pPr>
      <w:r>
        <w:rPr>
          <w:rFonts w:ascii="Arial" w:cs="Arial" w:eastAsia="Arial" w:hAnsi="Arial"/>
          <w:b w:val="false"/>
          <w:bCs w:val="false"/>
          <w:i w:val="false"/>
          <w:iCs w:val="false"/>
          <w:color w:val="1A1A1A"/>
          <w:sz w:val="20"/>
          <w:szCs w:val="20"/>
        </w:rPr>
        <w:t xml:space="preserve">Before connecting to any data source two Power Query parameters were created: Server storing the SQL Server instance name, and Environment storing the database name — MechmanRetail_DEV or MechmanRetail_PROD. The SQL Server connection for fact_Sales references both parameters.</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Using parameters instead of hardcoded connection strings means switching between DEV and PROD requires changing one parameter value. Every query referencing those parameters updates automatically. Editing the connection string directly inside each query would require locating and updating the source step manually each time the environment changes.</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800"/>
        <w:gridCol w:w="3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Query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Source</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Rows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Notes</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SQL Server — MechmanRetail_PROD via dbo.vw_Sales_Base</w:t>
            </w:r>
          </w:p>
        </w:tc>
        <w:tc>
          <w:tcPr>
            <w:tcW w:type="dxa" w:w="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228,265</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SaleKey removed — not used in any measure or relationship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dim_Date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Generated M code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1,461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1 Jan 2017 to 31 Dec 2020. Marked as Date Table.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dim_Customer</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Excel — Customer sheet</w:t>
            </w:r>
          </w:p>
        </w:tc>
        <w:tc>
          <w:tcPr>
            <w:tcW w:type="dxa" w:w="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403</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Primary Contact excluded (PII). Postal Code as 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dim_Product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Excel — Stock Item sheet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672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Nulls replaced. Boolean StockType converted to Chiller/Dry.</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dim_Employee</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Excel — Employee sheet</w:t>
            </w:r>
          </w:p>
        </w:tc>
        <w:tc>
          <w:tcPr>
            <w:tcW w:type="dxa" w:w="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13</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All 5 columns retained. Email and ParentEmployeeKey for RLS.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dim_Geography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City.csv merged with StateProvince.csv</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2,599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Left Outer join on StateProvinceKey. Latin-1 encoding.</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dim_Targets</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Folder — 2017, 2018, 2019 CSVs</w:t>
            </w:r>
          </w:p>
        </w:tc>
        <w:tc>
          <w:tcPr>
            <w:tcW w:type="dxa" w:w="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108</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BuyingGroup cleaned. Load disabled — staging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dim_Targets_2020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Excel — Targets for 2020 sheet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36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Unpivoted. M code date construction. Load disabled.</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dim_Targets_All</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Append of dim_Targets and dim_Targets_2020</w:t>
            </w:r>
          </w:p>
        </w:tc>
        <w:tc>
          <w:tcPr>
            <w:tcW w:type="dxa" w:w="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144</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Natural key: EndOfMonth + BuyingGroup. No surrogate key.</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1</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fact_Sales</w:t>
            </w:r>
          </w:p>
          <w:p>
            <w:pPr>
              <w:spacing w:before="0" w:after="0"/>
            </w:pPr>
            <w:r>
              <w:rPr>
                <w:rFonts w:ascii="Arial" w:cs="Arial" w:eastAsia="Arial" w:hAnsi="Arial"/>
                <w:b w:val="false"/>
                <w:bCs w:val="false"/>
                <w:i/>
                <w:iCs/>
                <w:color w:val="666666"/>
                <w:sz w:val="18"/>
                <w:szCs w:val="18"/>
              </w:rPr>
              <w:t xml:space="preserve">SQL Server — MechmanRetail_PROD via dbo.vw_Sales_Base</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fact table connects via SQL Server using the Server and Environment parameters targeting dbo.vw_Sales_Base. Import mode was selected. SaleKey was removed in Power Query after import.</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Connecting to the view rather than dbo.Sale directly means column standardisation and column selection are handled at the SQL Server layer. SaleKey is the primary key in SQL Server and is essential for duplicate detection in the health check procedures, but it has no role in the Power BI model — it is not used in any relationship, measure, or visual. Removing it eliminates a high-cardinality integer column that Power BI cannot compress efficiently, reducing the model size with no analytical cost.</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2</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dim_Date</w:t>
            </w:r>
          </w:p>
          <w:p>
            <w:pPr>
              <w:spacing w:before="0" w:after="0"/>
            </w:pPr>
            <w:r>
              <w:rPr>
                <w:rFonts w:ascii="Arial" w:cs="Arial" w:eastAsia="Arial" w:hAnsi="Arial"/>
                <w:b w:val="false"/>
                <w:bCs w:val="false"/>
                <w:i/>
                <w:iCs/>
                <w:color w:val="666666"/>
                <w:sz w:val="18"/>
                <w:szCs w:val="18"/>
              </w:rPr>
              <w:t xml:space="preserve">Generated in Power Query — M code</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date table was generated entirely in Power Query using M code covering 1 January 2017 to 31 December 2020 — 1,461 rows. Fifteen calendar columns were added: Year, QuarterNumber, Quarter, YearQuarter, MonthNumber, MonthName, MonthShort, YearMonth, WeekNumber, DayOfMonth, DayOfWeekNumber, DayOfWeek, DayOfWeekShort, IsWeekend, and MonthStart. The table was marked as a Date Table in Model View with the Date column as the date key.</w:t>
      </w:r>
    </w:p>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MonthStart is a calculated column created using DATE(Year, MonthNumber, 1). It is formatted as MMM YYYY and is used as the X axis for the forecast visual on Page 1 — providing a continuous Date type axis at monthly grain that enables Power BI's forecast engine while displaying readable labels.</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A generated date table has no external file dependency. The MonthStart column is necessary because Power BI's forecast engine requires a continuous Date type on the X axis. A hierarchy drill-down to month level breaks the forecast option. MonthStart provides a single Date column already at monthly grain — one row per month — that satisfies the forecast engine requirement without hierarchy complications.</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3</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dim_Customer</w:t>
            </w:r>
          </w:p>
          <w:p>
            <w:pPr>
              <w:spacing w:before="0" w:after="0"/>
            </w:pPr>
            <w:r>
              <w:rPr>
                <w:rFonts w:ascii="Arial" w:cs="Arial" w:eastAsia="Arial" w:hAnsi="Arial"/>
                <w:b w:val="false"/>
                <w:bCs w:val="false"/>
                <w:i/>
                <w:iCs/>
                <w:color w:val="666666"/>
                <w:sz w:val="18"/>
                <w:szCs w:val="18"/>
              </w:rPr>
              <w:t xml:space="preserve">Excel — Customer sheet</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Customer sheet was imported from MechmanRetail.xlsx. Remove Other Columns was applied selecting six columns. Primary Contact was excluded. Postal Code was converted from Whole Number to Text. Customer Key 0 was retained.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Primary Contact contains employee names — personally identifiable information that must not be exposed in a published dashboard. Postal Code is converted to Text because postal codes are identifiers not quantities — US codes beginning with zero such as 06510 would have their leading zero silently dropped if stored as Whole Number. Customer Key 0 is the unknown customer placeholder that catches unmatched fact rows — removing it would leave unmatched transactions without a dimension lookup, producing blanks in visuals.</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4</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dim_Employee</w:t>
            </w:r>
          </w:p>
          <w:p>
            <w:pPr>
              <w:spacing w:before="0" w:after="0"/>
            </w:pPr>
            <w:r>
              <w:rPr>
                <w:rFonts w:ascii="Arial" w:cs="Arial" w:eastAsia="Arial" w:hAnsi="Arial"/>
                <w:b w:val="false"/>
                <w:bCs w:val="false"/>
                <w:i/>
                <w:iCs/>
                <w:color w:val="666666"/>
                <w:sz w:val="18"/>
                <w:szCs w:val="18"/>
              </w:rPr>
              <w:t xml:space="preserve">Excel — Employee sheet</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All five columns were retained: EmployeeKey, ParentEmployeeKey, Employee, Title, and Email. Employee Key 0 was retained.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Email is required for Power BI RLS — USERPRINCIPALNAME() matches the logged-in user's email against this column to identify their EmployeeKey. ParentEmployeeKey is required for hierarchy-aware RLS — PATH() and PATHCONTAINS() traverse this column to identify all employees in a manager's reporting chain. Employee Key 0 is the unknown salesperson placeholder that catches unmatched SalespersonKey values in fact_Sales.</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5</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dim_Product</w:t>
            </w:r>
          </w:p>
          <w:p>
            <w:pPr>
              <w:spacing w:before="0" w:after="0"/>
            </w:pPr>
            <w:r>
              <w:rPr>
                <w:rFonts w:ascii="Arial" w:cs="Arial" w:eastAsia="Arial" w:hAnsi="Arial"/>
                <w:b w:val="false"/>
                <w:bCs w:val="false"/>
                <w:i/>
                <w:iCs/>
                <w:color w:val="666666"/>
                <w:sz w:val="18"/>
                <w:szCs w:val="18"/>
              </w:rPr>
              <w:t xml:space="preserve">Excel — Stock Item sheet</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Profiling identified nulls across five columns. Color nulls replaced with No Color, Brand nulls with No Brand, Size nulls with N/A. Selling Package and Buying Package nulls on Stock Item Key 0 replaced with N/A. Is Chiller Stock boolean converted — TRUE to Chiller, FALSE to Dry — column renamed StockType. Stock Item Key 0 retained.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N/A is used for the Key 0 placeholder row rather than Unknown because the product does not exist — the value is not applicable rather than merely unknown. Converting boolean to descriptive labels means report users see Chiller and Dry immediately in any slicer or visual without needing to know what the boolean represents.</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6</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dim_Geography</w:t>
            </w:r>
          </w:p>
          <w:p>
            <w:pPr>
              <w:spacing w:before="0" w:after="0"/>
            </w:pPr>
            <w:r>
              <w:rPr>
                <w:rFonts w:ascii="Arial" w:cs="Arial" w:eastAsia="Arial" w:hAnsi="Arial"/>
                <w:b w:val="false"/>
                <w:bCs w:val="false"/>
                <w:i/>
                <w:iCs/>
                <w:color w:val="666666"/>
                <w:sz w:val="18"/>
                <w:szCs w:val="18"/>
              </w:rPr>
              <w:t xml:space="preserve">City.csv merged with StateProvince.csv</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Both CSV files were imported with 1252 Western European encoding as staging queries with Load disabled. Merged via Left Outer join on StateProvinceKey producing a single flat dim_Geography table — converting the snowflake structure to star schema. Location column removed. StateProvinceKey removed after merge.</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A snowflake schema forces Power BI to traverse two joins for every geography filter. Merging into a single flat table means fact_Sales connects directly to one geography dimension. The Left Outer join retained all 2,599 city rows while bringing in StateProvince, Country, Continent, SalesTerritory, Region, and Subregion attributes. Latin-1 encoding was required because the CSV files contain Western European characters that UTF-8 cannot decode correctly.</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7</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dim_Targets</w:t>
            </w:r>
          </w:p>
          <w:p>
            <w:pPr>
              <w:spacing w:before="0" w:after="0"/>
            </w:pPr>
            <w:r>
              <w:rPr>
                <w:rFonts w:ascii="Arial" w:cs="Arial" w:eastAsia="Arial" w:hAnsi="Arial"/>
                <w:b w:val="false"/>
                <w:bCs w:val="false"/>
                <w:i/>
                <w:iCs/>
                <w:color w:val="666666"/>
                <w:sz w:val="18"/>
                <w:szCs w:val="18"/>
              </w:rPr>
              <w:t xml:space="preserve">Folder — 2017, 2018, 2019 CSVs</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Folder connection with Combine and Transform selected. Source.Name column removed. BuyingGroup column cleaned using Trim then Capitalize Each Word — reducing seven dirty variants to three clean values: Other, Tailspin Toys, Wingtip Toys. Load disabled — staging query feeding dim_Targets_All.</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Trim must run before Capitalize Each Word — trimming first ensures whitespace variants are resolved before casing is applied. Reversing the order would capitalise the first letter of a leading space producing an incorrect result. The BuyingGroup values must match exactly to dim_Customer[BuyingGroup] for any relationship or DAX filter referencing both tables to work correctly.</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8</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dim_Targets_2020</w:t>
            </w:r>
          </w:p>
          <w:p>
            <w:pPr>
              <w:spacing w:before="0" w:after="0"/>
            </w:pPr>
            <w:r>
              <w:rPr>
                <w:rFonts w:ascii="Arial" w:cs="Arial" w:eastAsia="Arial" w:hAnsi="Arial"/>
                <w:b w:val="false"/>
                <w:bCs w:val="false"/>
                <w:i/>
                <w:iCs/>
                <w:color w:val="666666"/>
                <w:sz w:val="18"/>
                <w:szCs w:val="18"/>
              </w:rPr>
              <w:t xml:space="preserve">Excel — Targets for 2020 sheet</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Three metadata rows removed via Remove Top Rows. Headers promoted. Buying Group Total row filtered out. Year Target column removed. Unpivot Other Columns applied anchored on Buying Group. Date constructed using M code: Text.From([Attribute] &amp; " 2020") converted to Date type then shifted to end of month. Attribute column deleted. Columns reordered to match dim_Targets schema. Load disabled.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Unpivot Other Columns rather than Unpivot Columns means any additional month columns added to the source in future are automatically rotated into rows. The M code date construction was necessary because the sheet contained only month names with no year or date information — constructing the full date string before converting to Date type and shifting to month-end aligned the 2020 targets to the same EndOfMonth convention used in the 2017–2019 CSVs.</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9</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dim_Targets_All</w:t>
            </w:r>
          </w:p>
          <w:p>
            <w:pPr>
              <w:spacing w:before="0" w:after="0"/>
            </w:pPr>
            <w:r>
              <w:rPr>
                <w:rFonts w:ascii="Arial" w:cs="Arial" w:eastAsia="Arial" w:hAnsi="Arial"/>
                <w:b w:val="false"/>
                <w:bCs w:val="false"/>
                <w:i/>
                <w:iCs/>
                <w:color w:val="666666"/>
                <w:sz w:val="18"/>
                <w:szCs w:val="18"/>
              </w:rPr>
              <w:t xml:space="preserve">Append — dim_Targets and dim_Targets_2020</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Both staging queries appended as new query. Sorted ascending by EndOfMonth. No surrogate key added. Both staging queries have Load disabled.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The natural composite key is EndOfMonth combined with BuyingGroup. The business rule is explicit — there can only be one monthly target per buying group per month. If a duplicate appeared on these two columns it would be a data quality error requiring resolution at the source, not a scenario to be masked by a surrogate key. A surrogate key would assign different key values to duplicate rows and allow them into the model silently.</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Model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1600"/>
        <w:gridCol w:w="11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From Table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From Column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To Table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To Column</w:t>
            </w:r>
          </w:p>
        </w:tc>
        <w:tc>
          <w:tcPr>
            <w:tcW w:type="dxa" w:w="1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Active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InvoiceDateKey</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dim_Date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w:t>
            </w:r>
          </w:p>
        </w:tc>
        <w:tc>
          <w:tcPr>
            <w:tcW w:type="dxa" w:w="1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CustomerKey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dim_Customer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CustomerKey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StockItemKey</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dim_Product</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ProductKey</w:t>
            </w:r>
          </w:p>
        </w:tc>
        <w:tc>
          <w:tcPr>
            <w:tcW w:type="dxa" w:w="1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CityKey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dim_Geography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CityKey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SalespersonKey</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dim_Employee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EmployeeKey</w:t>
            </w:r>
          </w:p>
        </w:tc>
        <w:tc>
          <w:tcPr>
            <w:tcW w:type="dxa" w:w="1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fact_Sales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DeliveryDateKey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 Inactive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dim_Targets_All</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EndOfMonth</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dim_Date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w:t>
            </w:r>
          </w:p>
        </w:tc>
        <w:tc>
          <w:tcPr>
            <w:tcW w:type="dxa" w:w="1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 Inactive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dim_Targets_All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BuyingGroup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dim_Customer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BuyingGroup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 — Inactive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before="80"/>
      <w:jc w:val="center"/>
    </w:pPr>
    <w:r>
      <w:rPr>
        <w:rFonts w:ascii="Arial" w:cs="Arial" w:eastAsia="Arial" w:hAnsi="Arial"/>
        <w:b w:val="false"/>
        <w:bCs w:val="false"/>
        <w:i w:val="false"/>
        <w:iCs w:val="false"/>
        <w:color w:val="888888"/>
        <w:sz w:val="17"/>
        <w:szCs w:val="17"/>
      </w:rPr>
      <w:t xml:space="preserve">Phase 2 Narrative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before="0" w:after="80"/>
    </w:pPr>
    <w:r>
      <w:rPr>
        <w:rFonts w:ascii="Arial" w:cs="Arial" w:eastAsia="Arial" w:hAnsi="Arial"/>
        <w:b/>
        <w:bCs/>
        <w:i w:val="false"/>
        <w:iCs w:val="false"/>
        <w:color w:val="1F3864"/>
        <w:sz w:val="17"/>
        <w:szCs w:val="17"/>
      </w:rPr>
      <w:t xml:space="preserve">MechmanRetail — Phase 2: Power Query Documentation</w:t>
    </w:r>
    <w:r>
      <w:rPr>
        <w:sz w:val="17"/>
        <w:szCs w:val="17"/>
      </w:rPr>
      <w:t xml:space="preserve">	</w:t>
    </w:r>
    <w:r>
      <w:rPr>
        <w:rFonts w:ascii="Arial" w:cs="Arial" w:eastAsia="Arial" w:hAnsi="Arial"/>
        <w:b w:val="false"/>
        <w:bCs w:val="false"/>
        <w:i w:val="false"/>
        <w:iCs w:val="false"/>
        <w:color w:val="666666"/>
        <w:sz w:val="17"/>
        <w:szCs w:val="17"/>
      </w:rPr>
      <w:t xml:space="preserve">Adiga Triumphant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2026-03-27T14:45:40.364Z</dcterms:created>
  <dcterms:modified xsi:type="dcterms:W3CDTF">2026-03-27T14:45:40.364Z</dcterms:modified>
</cp:coreProperties>
</file>

<file path=docProps/custom.xml><?xml version="1.0" encoding="utf-8"?>
<Properties xmlns="http://schemas.openxmlformats.org/officeDocument/2006/custom-properties" xmlns:vt="http://schemas.openxmlformats.org/officeDocument/2006/docPropsVTypes"/>
</file>