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160"/>
        <w:jc w:val="center"/>
      </w:pPr>
      <w:r>
        <w:rPr>
          <w:rFonts w:ascii="Arial" w:cs="Arial" w:eastAsia="Arial" w:hAnsi="Arial"/>
          <w:b/>
          <w:bCs/>
          <w:i w:val="false"/>
          <w:iCs w:val="false"/>
          <w:color w:val="1F3864"/>
          <w:sz w:val="56"/>
          <w:szCs w:val="56"/>
        </w:rPr>
        <w:t xml:space="preserve">MechmanRetail</w:t>
      </w:r>
    </w:p>
    <w:p>
      <w:pPr>
        <w:spacing w:before="0" w:after="80"/>
        <w:jc w:val="center"/>
      </w:pPr>
      <w:r>
        <w:rPr>
          <w:rFonts w:ascii="Arial" w:cs="Arial" w:eastAsia="Arial" w:hAnsi="Arial"/>
          <w:b/>
          <w:bCs/>
          <w:i w:val="false"/>
          <w:iCs w:val="false"/>
          <w:color w:val="2E75B6"/>
          <w:sz w:val="36"/>
          <w:szCs w:val="36"/>
        </w:rPr>
        <w:t xml:space="preserve">BI Portfolio Project</w:t>
      </w:r>
    </w:p>
    <w:p>
      <w:pPr>
        <w:spacing w:before="0" w:after="320"/>
        <w:jc w:val="center"/>
      </w:pPr>
      <w:r>
        <w:rPr>
          <w:rFonts w:ascii="Arial" w:cs="Arial" w:eastAsia="Arial" w:hAnsi="Arial"/>
          <w:b w:val="false"/>
          <w:bCs w:val="false"/>
          <w:i w:val="false"/>
          <w:iCs w:val="false"/>
          <w:color w:val="444444"/>
          <w:sz w:val="24"/>
          <w:szCs w:val="24"/>
        </w:rPr>
        <w:t xml:space="preserve">Phase 3: Modelling, DAX &amp; Visualisation —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spacing w:before="40" w:after="60"/>
              <w:jc w:val="center"/>
            </w:pPr>
            <w:r>
              <w:rPr>
                <w:rFonts w:ascii="Arial" w:cs="Arial" w:eastAsia="Arial" w:hAnsi="Arial"/>
                <w:b/>
                <w:bCs/>
                <w:i w:val="false"/>
                <w:iCs w:val="false"/>
                <w:color w:val="1F3864"/>
                <w:sz w:val="22"/>
                <w:szCs w:val="22"/>
              </w:rPr>
              <w:t xml:space="preserve">Author: Adiga Triumphant</w:t>
            </w:r>
          </w:p>
          <w:p>
            <w:pPr>
              <w:spacing w:before="0" w:after="40"/>
              <w:jc w:val="center"/>
            </w:pPr>
            <w:r>
              <w:rPr>
                <w:rFonts w:ascii="Arial" w:cs="Arial" w:eastAsia="Arial" w:hAnsi="Arial"/>
                <w:b w:val="false"/>
                <w:bCs w:val="false"/>
                <w:i w:val="false"/>
                <w:iCs w:val="false"/>
                <w:color w:val="444444"/>
                <w:sz w:val="20"/>
                <w:szCs w:val="20"/>
              </w:rPr>
              <w:t xml:space="preserve">Tool: Power BI Desktop</w:t>
            </w:r>
          </w:p>
          <w:p>
            <w:pPr>
              <w:spacing w:before="0" w:after="40"/>
              <w:jc w:val="center"/>
            </w:pPr>
            <w:r>
              <w:rPr>
                <w:rFonts w:ascii="Arial" w:cs="Arial" w:eastAsia="Arial" w:hAnsi="Arial"/>
                <w:b w:val="false"/>
                <w:bCs w:val="false"/>
                <w:i/>
                <w:iCs/>
                <w:color w:val="666666"/>
                <w:sz w:val="19"/>
                <w:szCs w:val="19"/>
              </w:rPr>
              <w:t xml:space="preserve">Model View  ·  DAX Editor  ·  Report View</w:t>
            </w:r>
          </w:p>
        </w:tc>
      </w:tr>
    </w:tbl>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Phase Overview</w:t>
      </w:r>
    </w:p>
    <w:p>
      <w:pPr>
        <w:spacing w:before="40" w:after="100"/>
      </w:pPr>
      <w:r>
        <w:rPr>
          <w:rFonts w:ascii="Arial" w:cs="Arial" w:eastAsia="Arial" w:hAnsi="Arial"/>
          <w:b w:val="false"/>
          <w:bCs w:val="false"/>
          <w:i w:val="false"/>
          <w:iCs w:val="false"/>
          <w:color w:val="1A1A1A"/>
          <w:sz w:val="20"/>
          <w:szCs w:val="20"/>
        </w:rPr>
        <w:t xml:space="preserve">Phase 3 covers data modelling, DAX measures, field parameter, and visualisation. The model uses a star schema with eight relationships, 25 standalone DAX measures, a field parameter for Revenue/Profit switching, and a four-page report with a hidden City Detail drill through page.</w:t>
      </w:r>
    </w:p>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1</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Data Modelling</w:t>
            </w:r>
          </w:p>
          <w:p>
            <w:pPr>
              <w:spacing w:before="0" w:after="0"/>
            </w:pPr>
            <w:r>
              <w:rPr>
                <w:rFonts w:ascii="Arial" w:cs="Arial" w:eastAsia="Arial" w:hAnsi="Arial"/>
                <w:b w:val="false"/>
                <w:bCs w:val="false"/>
                <w:i/>
                <w:iCs/>
                <w:color w:val="666666"/>
                <w:sz w:val="18"/>
                <w:szCs w:val="18"/>
              </w:rPr>
              <w:t xml:space="preserve">Relationships, date table, data categories, column visibility</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Relationships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480"/>
        <w:gridCol w:w="1360"/>
        <w:gridCol w:w="1280"/>
        <w:gridCol w:w="1280"/>
        <w:gridCol w:w="1240"/>
      </w:tblGrid>
      <w:tr>
        <w:trPr>
          <w:tblHeader/>
        </w:trPr>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From Table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From Column</w:t>
            </w:r>
          </w:p>
        </w:tc>
        <w:tc>
          <w:tcPr>
            <w:tcW w:type="dxa" w:w="1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To Table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To Column</w:t>
            </w:r>
          </w:p>
        </w:tc>
        <w:tc>
          <w:tcPr>
            <w:tcW w:type="dxa" w:w="1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Cardinality</w:t>
            </w:r>
          </w:p>
        </w:tc>
        <w:tc>
          <w:tcPr>
            <w:tcW w:type="dxa" w:w="1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Cross-filter</w:t>
            </w:r>
          </w:p>
        </w:tc>
        <w:tc>
          <w:tcPr>
            <w:tcW w:type="dxa" w:w="1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Active</w:t>
            </w:r>
          </w:p>
        </w:tc>
      </w:tr>
      <w:tr>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InvoiceDateKey</w:t>
            </w:r>
          </w:p>
        </w:tc>
        <w:tc>
          <w:tcPr>
            <w:tcW w:type="dxa" w:w="14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CustomerKey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dim_Customer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CustomerKey</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StockItemKey</w:t>
            </w:r>
          </w:p>
        </w:tc>
        <w:tc>
          <w:tcPr>
            <w:tcW w:type="dxa" w:w="14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dim_Product</w:t>
            </w:r>
          </w:p>
        </w:tc>
        <w:tc>
          <w:tcPr>
            <w:tcW w:type="dxa" w:w="1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ProductKey</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CityKey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dim_Geography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CityKey</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SalespersonKey</w:t>
            </w:r>
          </w:p>
        </w:tc>
        <w:tc>
          <w:tcPr>
            <w:tcW w:type="dxa" w:w="14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dim_Employee</w:t>
            </w:r>
          </w:p>
        </w:tc>
        <w:tc>
          <w:tcPr>
            <w:tcW w:type="dxa" w:w="1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EmployeeKey</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DeliveryDateKey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r>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dim_Targets_All</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EndOfMonth</w:t>
            </w:r>
          </w:p>
        </w:tc>
        <w:tc>
          <w:tcPr>
            <w:tcW w:type="dxa" w:w="14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dim_Targets_All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dim_Customer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Many to 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Single</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All cross-filter directions are Single. Bidirectional cross-filtering introduces ambiguous filter paths that produce incorrect aggregations when a dimension slicer fires. Single direction enforces the correct star schema pattern — filters always flow from dimension to fact. The three inactive relationships prevent ambiguous filter paths while allowing each DAX measure to activate only the relationship it needs via USERELATIONSHIP() within its own calculation context.</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dim_Date — Marked as Date Table</w:t>
      </w:r>
    </w:p>
    <w:p>
      <w:pPr>
        <w:spacing w:before="40" w:after="100"/>
      </w:pPr>
      <w:r>
        <w:rPr>
          <w:rFonts w:ascii="Arial" w:cs="Arial" w:eastAsia="Arial" w:hAnsi="Arial"/>
          <w:b w:val="false"/>
          <w:bCs w:val="false"/>
          <w:i w:val="false"/>
          <w:iCs w:val="false"/>
          <w:color w:val="1A1A1A"/>
          <w:sz w:val="20"/>
          <w:szCs w:val="20"/>
        </w:rPr>
        <w:t xml:space="preserve">dim_Date was marked as a Date Table in Model View via Table Tools on the ribbon with the Date column as the date key. Without this designation all time intelligence DAX functions fail to produce correct results because they cannot locate the continuous date range they require.</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Data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Table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Column</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Category</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dim_Geography</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dim_Geography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StateProvince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State or Province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dim_Geography</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Country</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Country/Region</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Column Visibility</w:t>
      </w:r>
    </w:p>
    <w:p>
      <w:pPr>
        <w:spacing w:before="40" w:after="100"/>
      </w:pPr>
      <w:r>
        <w:rPr>
          <w:rFonts w:ascii="Arial" w:cs="Arial" w:eastAsia="Arial" w:hAnsi="Arial"/>
          <w:b w:val="false"/>
          <w:bCs w:val="false"/>
          <w:i w:val="false"/>
          <w:iCs w:val="false"/>
          <w:color w:val="1A1A1A"/>
          <w:sz w:val="20"/>
          <w:szCs w:val="20"/>
        </w:rPr>
        <w:t xml:space="preserve">All foreign key columns in fact_Sales and all primary key columns in dimension tables were hidden from Report View. Keys hidden: InvoiceDateKey, DeliveryDateKey, CustomerKey, StockItemKey, CityKey, SalespersonKey in fact_Sales; CustomerKey in dim_Customer; ProductKey in dim_Product; CityKey and StateProvinceKey in dim_Geography; EmployeeKey and ParentEmployeeKey in dim_Employee; Date in dim_Date.</w:t>
      </w:r>
    </w:p>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2</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Measures Table</w:t>
            </w:r>
          </w:p>
          <w:p>
            <w:pPr>
              <w:spacing w:before="0" w:after="0"/>
            </w:pPr>
            <w:r>
              <w:rPr>
                <w:rFonts w:ascii="Arial" w:cs="Arial" w:eastAsia="Arial" w:hAnsi="Arial"/>
                <w:b w:val="false"/>
                <w:bCs w:val="false"/>
                <w:i/>
                <w:iCs/>
                <w:color w:val="666666"/>
                <w:sz w:val="18"/>
                <w:szCs w:val="18"/>
              </w:rPr>
              <w:t xml:space="preserve">_Measures = {" "}</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 dedicated measures table was created using the DAX calculated table expression _Measures = {" "}. The underscore prefix sorts it to the top of the field list. The blank placeholder column was hidden from Report View. All 25 measures were created by right-clicking _Measures and selecting New Measure.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Centralising all measures in one dedicated table keeps the field list organised and makes maintenance straightforward. The _Measures = {" "} pattern is the standard professional approach — it creates the container without introducing any data or calculated columns that interfere with the model.</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3</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Field Parameter — Metric</w:t>
            </w:r>
          </w:p>
          <w:p>
            <w:pPr>
              <w:spacing w:before="0" w:after="0"/>
            </w:pPr>
            <w:r>
              <w:rPr>
                <w:rFonts w:ascii="Arial" w:cs="Arial" w:eastAsia="Arial" w:hAnsi="Arial"/>
                <w:b w:val="false"/>
                <w:bCs w:val="false"/>
                <w:i/>
                <w:iCs/>
                <w:color w:val="666666"/>
                <w:sz w:val="18"/>
                <w:szCs w:val="18"/>
              </w:rPr>
              <w:t xml:space="preserve">Revenue / Profit switching via field parameter</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 field parameter named Metric was created via Modeling ribbon → New Parameter → Fields. It contains Total Revenue and Total Profit. The Metric[Metric] field is placed in the value pane of visuals on Pages 1 and 3 that should switch between Revenue and Profit. The Metric slicer is synced across Pages 1 and 3 via View → Sync Slicers.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A field parameter placed in the visual value pane switches the measure dynamically when the user selects Revenue or Profit in the Metric slicer. This is the correct approach for metric switching — it responds to slicer selections the same way any dimension filter does. All time intelligence measures are written as standalone measures for both Revenue and Profit rather than through a calculation group because the different granularity requirements across pages — MTD on some pages, YTD on others, Rolling 12M on one specific visual — make a page-wide calculation group slicer impractical. Each measure is placed deliberately into the specific visual where it adds analytical value.</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4</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DAX Measures</w:t>
            </w:r>
          </w:p>
          <w:p>
            <w:pPr>
              <w:spacing w:before="0" w:after="0"/>
            </w:pPr>
            <w:r>
              <w:rPr>
                <w:rFonts w:ascii="Arial" w:cs="Arial" w:eastAsia="Arial" w:hAnsi="Arial"/>
                <w:b w:val="false"/>
                <w:bCs w:val="false"/>
                <w:i/>
                <w:iCs/>
                <w:color w:val="666666"/>
                <w:sz w:val="18"/>
                <w:szCs w:val="18"/>
              </w:rPr>
              <w:t xml:space="preserve">25 standalone measures</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All 25 measures are standalone. Time intelligence measures are written individually for both Revenue and Profit rather than through a calculation group — this allows each measure to be placed deliberately into the specific visual where its time calculation is analytically appropriate, without requiring visual-level period locks or Edit interactions to prevent inappropriate combinations.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60"/>
        <w:gridCol w:w="1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Measure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Group</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DAX Pattern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KPI</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Total Revenue</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SUM( fact_Sales[TotalExcludingTax]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Total Profit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SUM( fact_Sales[Profit]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Margin %</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DIVIDE( [Total Profit], [Total Revenue], 0 )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Transaction 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COUNTROWS( fact_Sales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Total Quantity</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SUM( fact_Sales[Quantity]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Total Chiller Items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SUM( fact_Sales[TotalChillerItems]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Total Dry Items</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Base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SUM( fact_Sales[TotalDryItems]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MTD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TOTALMTD( [Total Revenue], dim_Date[Date]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QTD</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TOTALQTD( [Total Revenue], dim_Date[Date]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YTD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TOTALYTD( [Total Revenue], dim_Date[Date]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LY</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[Total Revenue], SAMEPERIODLASTYEAR(...)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YoY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DIVIDE( [Total Revenue]-[Revenue LY], [Revenue LY], 0 )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Rolling 12M</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with DATESINPERIOD -12 MONTH</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MTD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TOTALMTD( [Total Profit], dim_Date[Date]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QTD</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TOTALQTD( [Total Profit], dim_Date[Date]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YTD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TOTALYTD( [Total Profit], dim_Date[Date]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LY</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[Total Profit], SAMEPERIODLASTYEAR(...)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YoY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DIVIDE( [Total Profit]-[Profit LY], [Profit LY], 0 )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Profit Rolling 12M</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Time Intelligence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with DATESINPERIOD -12 MONTH</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Target 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Target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SUM with dual USERELATIONSHIP()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Target Revenue YTD</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Target</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CALCULATE( [Target Revenue], DATESYTD(...)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vs Target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Target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[Total Revenue] - [Target Revenue]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Revenue vs Target %</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Target</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DIVIDE( [Revenue vs Target], [Target Revenue], 0 )</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Avg Days to Ship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Shipping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AVERAGEX( fact_Sales, DATEDIFF(..., DAY)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C9A84C"/>
                <w:sz w:val="16"/>
                <w:szCs w:val="16"/>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6"/>
                <w:szCs w:val="16"/>
              </w:rPr>
              <w:t xml:space="preserve">Salesperson Revenue Rank</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6"/>
                <w:szCs w:val="16"/>
              </w:rPr>
              <w:t xml:space="preserve">Ranking</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nsolas" w:cs="Consolas" w:eastAsia="Consolas" w:hAnsi="Consolas"/>
                <w:b w:val="false"/>
                <w:bCs w:val="false"/>
                <w:i w:val="false"/>
                <w:iCs w:val="false"/>
                <w:color w:val="1A1A1A"/>
                <w:sz w:val="15"/>
                <w:szCs w:val="15"/>
              </w:rPr>
              <w:t xml:space="preserve">RANKX with ALL, DENSE, HASONEVALUE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888888"/>
                <w:sz w:val="16"/>
                <w:szCs w:val="16"/>
              </w:rPr>
              <w:t xml:space="preserve"/>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Key DAX Patterns</w:t>
      </w:r>
    </w:p>
    <w:p>
      <w:pPr>
        <w:spacing w:before="0" w:after="80"/>
      </w:pPr>
      <w:r>
        <w:rPr>
          <w:rFonts w:ascii="Arial" w:cs="Arial" w:eastAsia="Arial" w:hAnsi="Arial"/>
          <w:b w:val="false"/>
          <w:bCs w:val="false"/>
          <w:i w:val="false"/>
          <w:iCs w:val="false"/>
          <w:color w:val="1A1A1A"/>
          <w:sz w:val="20"/>
          <w:szCs w:val="20"/>
        </w:rPr>
        <w:t xml:space="preserve"/>
      </w:r>
    </w:p>
    <w:p>
      <w:pPr>
        <w:spacing w:before="180" w:after="60"/>
      </w:pPr>
      <w:r>
        <w:rPr>
          <w:rFonts w:ascii="Arial" w:cs="Arial" w:eastAsia="Arial" w:hAnsi="Arial"/>
          <w:b/>
          <w:bCs/>
          <w:i w:val="false"/>
          <w:iCs w:val="false"/>
          <w:color w:val="333333"/>
          <w:sz w:val="20"/>
          <w:szCs w:val="20"/>
        </w:rPr>
        <w:t xml:space="preserve">[Avg Days to Ship]</w:t>
      </w:r>
    </w:p>
    <w:p>
      <w:pPr>
        <w:spacing w:before="40" w:after="100"/>
      </w:pPr>
      <w:r>
        <w:rPr>
          <w:rFonts w:ascii="Arial" w:cs="Arial" w:eastAsia="Arial" w:hAnsi="Arial"/>
          <w:b w:val="false"/>
          <w:bCs w:val="false"/>
          <w:i w:val="false"/>
          <w:iCs w:val="false"/>
          <w:color w:val="1A1A1A"/>
          <w:sz w:val="20"/>
          <w:szCs w:val="20"/>
        </w:rPr>
        <w:t xml:space="preserve">Uses AVERAGEX to iterate row by row across fact_Sales calculating DATEDIFF between InvoiceDateKey and DeliveryDateKey in DAY units before averaging. This produces the mathematically correct result — subtracting two SUM expressions and dividing does not give the same answer as averaging per-row differences.</w:t>
      </w:r>
    </w:p>
    <w:p>
      <w:pPr>
        <w:spacing w:before="0" w:after="80"/>
      </w:pPr>
      <w:r>
        <w:rPr>
          <w:rFonts w:ascii="Arial" w:cs="Arial" w:eastAsia="Arial" w:hAnsi="Arial"/>
          <w:b w:val="false"/>
          <w:bCs w:val="false"/>
          <w:i w:val="false"/>
          <w:iCs w:val="false"/>
          <w:color w:val="1A1A1A"/>
          <w:sz w:val="20"/>
          <w:szCs w:val="20"/>
        </w:rPr>
        <w:t xml:space="preserve"/>
      </w:r>
    </w:p>
    <w:p>
      <w:pPr>
        <w:spacing w:before="180" w:after="60"/>
      </w:pPr>
      <w:r>
        <w:rPr>
          <w:rFonts w:ascii="Arial" w:cs="Arial" w:eastAsia="Arial" w:hAnsi="Arial"/>
          <w:b/>
          <w:bCs/>
          <w:i w:val="false"/>
          <w:iCs w:val="false"/>
          <w:color w:val="333333"/>
          <w:sz w:val="20"/>
          <w:szCs w:val="20"/>
        </w:rPr>
        <w:t xml:space="preserve">[Target Revenue]</w:t>
      </w:r>
    </w:p>
    <w:p>
      <w:pPr>
        <w:spacing w:before="40" w:after="100"/>
      </w:pPr>
      <w:r>
        <w:rPr>
          <w:rFonts w:ascii="Arial" w:cs="Arial" w:eastAsia="Arial" w:hAnsi="Arial"/>
          <w:b w:val="false"/>
          <w:bCs w:val="false"/>
          <w:i w:val="false"/>
          <w:iCs w:val="false"/>
          <w:color w:val="1A1A1A"/>
          <w:sz w:val="20"/>
          <w:szCs w:val="20"/>
        </w:rPr>
        <w:t xml:space="preserve">Uses CALCULATE with two simultaneous USERELATIONSHIP() calls activating both the EndOfMonth → dim_Date and BuyingGroup → dim_Customer inactive relationships. Both must be activated in the same CALCULATE() — activating only the date relationship would mean the BuyingGroup slicer has no effect on the target value.</w:t>
      </w:r>
    </w:p>
    <w:p>
      <w:pPr>
        <w:spacing w:before="0" w:after="80"/>
      </w:pPr>
      <w:r>
        <w:rPr>
          <w:rFonts w:ascii="Arial" w:cs="Arial" w:eastAsia="Arial" w:hAnsi="Arial"/>
          <w:b w:val="false"/>
          <w:bCs w:val="false"/>
          <w:i w:val="false"/>
          <w:iCs w:val="false"/>
          <w:color w:val="1A1A1A"/>
          <w:sz w:val="20"/>
          <w:szCs w:val="20"/>
        </w:rPr>
        <w:t xml:space="preserve"/>
      </w:r>
    </w:p>
    <w:p>
      <w:pPr>
        <w:spacing w:before="180" w:after="60"/>
      </w:pPr>
      <w:r>
        <w:rPr>
          <w:rFonts w:ascii="Arial" w:cs="Arial" w:eastAsia="Arial" w:hAnsi="Arial"/>
          <w:b/>
          <w:bCs/>
          <w:i w:val="false"/>
          <w:iCs w:val="false"/>
          <w:color w:val="333333"/>
          <w:sz w:val="20"/>
          <w:szCs w:val="20"/>
        </w:rPr>
        <w:t xml:space="preserve">[Salesperson Revenue Rank]</w:t>
      </w:r>
    </w:p>
    <w:p>
      <w:pPr>
        <w:spacing w:before="40" w:after="100"/>
      </w:pPr>
      <w:r>
        <w:rPr>
          <w:rFonts w:ascii="Arial" w:cs="Arial" w:eastAsia="Arial" w:hAnsi="Arial"/>
          <w:b w:val="false"/>
          <w:bCs w:val="false"/>
          <w:i w:val="false"/>
          <w:iCs w:val="false"/>
          <w:color w:val="1A1A1A"/>
          <w:sz w:val="20"/>
          <w:szCs w:val="20"/>
        </w:rPr>
        <w:t xml:space="preserve">HASONEVALUE() prevents the measure returning a rank on total rows. ALL( dim_Employee[Employee] ) removes the visual filter so every salesperson is ranked against the full population regardless of any slicer. DENSE ranking means tied values share the same rank with no gaps.</w:t>
      </w:r>
    </w:p>
    <w:p>
      <w:pPr>
        <w:spacing w:before="0" w:after="80"/>
      </w:pPr>
      <w:r>
        <w:rPr>
          <w:rFonts w:ascii="Arial" w:cs="Arial" w:eastAsia="Arial" w:hAnsi="Arial"/>
          <w:b w:val="false"/>
          <w:bCs w:val="false"/>
          <w:i w:val="false"/>
          <w:iCs w:val="false"/>
          <w:color w:val="1A1A1A"/>
          <w:sz w:val="20"/>
          <w:szCs w:val="20"/>
        </w:rPr>
        <w:t xml:space="preserve"/>
      </w:r>
    </w:p>
    <w:p>
      <w:pPr>
        <w:spacing w:before="180" w:after="60"/>
      </w:pPr>
      <w:r>
        <w:rPr>
          <w:rFonts w:ascii="Arial" w:cs="Arial" w:eastAsia="Arial" w:hAnsi="Arial"/>
          <w:b/>
          <w:bCs/>
          <w:i w:val="false"/>
          <w:iCs w:val="false"/>
          <w:color w:val="333333"/>
          <w:sz w:val="20"/>
          <w:szCs w:val="20"/>
        </w:rPr>
        <w:t xml:space="preserve">[Profit Margin %]</w:t>
      </w:r>
    </w:p>
    <w:p>
      <w:pPr>
        <w:spacing w:before="40" w:after="100"/>
      </w:pPr>
      <w:r>
        <w:rPr>
          <w:rFonts w:ascii="Arial" w:cs="Arial" w:eastAsia="Arial" w:hAnsi="Arial"/>
          <w:b w:val="false"/>
          <w:bCs w:val="false"/>
          <w:i w:val="false"/>
          <w:iCs w:val="false"/>
          <w:color w:val="1A1A1A"/>
          <w:sz w:val="20"/>
          <w:szCs w:val="20"/>
        </w:rPr>
        <w:t xml:space="preserve">DIVIDE() rather than the division operator handles zero denominators gracefully. Profit Margin % is not passed through the field parameter switcher — it is always shown as a standalone line series on combo charts alongside Revenue or Profit bars. Applying time intelligence to a ratio produces mathematically incorrect results — YTD of a percentage is not the same as the margin calculated from YTD revenue and YTD profit.</w:t>
      </w:r>
    </w:p>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5</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Visualisation</w:t>
            </w:r>
          </w:p>
          <w:p>
            <w:pPr>
              <w:spacing w:before="0" w:after="0"/>
            </w:pPr>
            <w:r>
              <w:rPr>
                <w:rFonts w:ascii="Arial" w:cs="Arial" w:eastAsia="Arial" w:hAnsi="Arial"/>
                <w:b w:val="false"/>
                <w:bCs w:val="false"/>
                <w:i/>
                <w:iCs/>
                <w:color w:val="666666"/>
                <w:sz w:val="18"/>
                <w:szCs w:val="18"/>
              </w:rPr>
              <w:t xml:space="preserve">Four pages plus hidden City Detail drill through</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Slicer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Slicer</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Page 1</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Page 2</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Page 3</w:t>
            </w:r>
          </w:p>
        </w:tc>
        <w:tc>
          <w:tcPr>
            <w:tcW w:type="dxa" w:w="2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Page 4</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Metric (field parameter)</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 — synced</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 — synced</w:t>
            </w:r>
          </w:p>
        </w:tc>
        <w:tc>
          <w:tcPr>
            <w:tcW w:type="dxa" w:w="2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dim_Date[Year]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dim_Customer[BuyingGroup]</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2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dim_Date[Quarter]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dim_Employee[Employee]</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2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dim_Product[StockType]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dim_Product[Brand]</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22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dim_Geography[SalesTerritory]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No Period slicer appears on any page. Time intelligence measures are placed deliberately into specific visuals rather than driven by a page-wide slicer. This avoids visual-level locking complexity — a page-wide Period slicer controlling MTD, QTD, and YTD simultaneously would require most visuals on every page to be locked via Edit interactions to prevent inappropriate time combinations. Standalone measures placed deliberately per visual is the correct architecture when different visuals on the same page require different time contexts.</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Page 1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Measures / Fields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KPI Cards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Card x4</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(Metric), Profit Margin %, Revenue vs Target %, Revenue vs Target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Variance cards: conditional formatting green/red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Annual Performance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Clustered bar + 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Bars: Metric field  Line: Revenue vs Target %  X: dim_Date[Year]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slicer and Metric slicer disabled via Edit interactions — always Actual</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Monthly Trend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Clustered bar + line</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Bars: Total Revenue  Line: Profit Margin %  X: dim_Date[MonthName]</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Always Actual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Territory Treemap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Treemap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Values: Metric field  Group: dim_Geography[SalesTerritory]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Metric slicer active</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Forecast</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Line chart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Total Revenue  X: dim_Date[MonthStart]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slicer disabled. Confidence shadow off.</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Slicers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Slicer x3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Metric, Year, BuyingGroup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Period slicer</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Page 2 — Sales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Measures / Fields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KPI Cards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Card x4</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Revenue vs Target, Revenue vs Target %, Avg Days to Ship</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Variance cards: conditional formatting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Revenue by Salesperson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Horizontal bar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dim_Employee[Employee]  X: Total Revenue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Sort descending. Tooltip: Salesperson Revenue Rank.</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Monthly Target Variance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Clustered bar + line</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dim_Date[MonthName]  Bar: Total Revenue  Line: Revenue vs Target %</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Always Actual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YTD vs Target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Clustered bar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dim_Date[Quarter]  Bars: Revenue YTD and Target Revenue YTD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Always YTD. Click quarter to cross-filter salesperson bar.</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Salesperson Trend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Line chart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dim_Date[MonthName]  Y: Total Revenue  Legend: dim_Employee[Employee]</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Top 5 via filter pane Top N. Always Actual.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Slicers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Slicer x2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BuyingGroup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Quarter, Employee, or Period slicer</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Page 3 — Product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Measures / Fields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KPI Cards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Card x4</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(Metric), Profit Margin %, Total Chiller Items, Total Dry Items</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Margin by Product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Horizontal bar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dim_Product[StockItem]  X: Profit Margin %</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Top 10 filter pane Top N. Cross-filters cards only.</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Revenue and Margin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Clustered bar + line</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Bars: Metric field  Line: Profit Margin %  X: dim_Product[StockItem]</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Cross-filters cards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Profit Stream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Stream chart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MonthName  Y: Total Profit  Legend: dim_Customer[BuyingGroup]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Hardcoded to Total Profit. Not affected by Metric slicer.</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Volume vs Revenue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Scatter</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Total Quantity  Y: Metric field  Details: dim_Product[StockItem]</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Cross-filters Margin by Product bar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Slicers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Slicer x4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Metric, Year, BuyingGroup, Brand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StockItem slicer</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Page 4 — Territory and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Measures / Fields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KPI Cards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Card x3</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Total Profit, Avg Days to Ship</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Revenue vs Target — targets not defined at territory level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Shipping by Territory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Horizontal bar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dim_Geography[SalesTerritory]  X: Avg Days to Ship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SalesTerritory slicer disabled — always shows all territories</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Rolling 12M</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Line chart + forecast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X: dim_Date[MonthStart]  Y: Revenue Rolling 12M</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slicer disabled. Always Rolling 12M.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City Map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Map bubble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Location: City + StateProvince  Size: Total Revenue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SalesTerritory slicer drives visible cities. Drill through to City Detail.</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Profit by Buying Group</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Donut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Values: Total Profit  Legend: dim_Customer[BuyingGroup]</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 slicer disabled — always shows all groups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Top Customers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Treemap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Group: dim_Customer[Customer]  Values: Total Revenue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Top 20 filter pane Top N. Blank filtered out.</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Slicers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Slicer x3</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BuyingGroup, SalesTerritory</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City Detail — Drill Through Page</w:t>
      </w:r>
    </w:p>
    <w:p>
      <w:pPr>
        <w:spacing w:before="40" w:after="100"/>
      </w:pPr>
      <w:r>
        <w:rPr>
          <w:rFonts w:ascii="Arial" w:cs="Arial" w:eastAsia="Arial" w:hAnsi="Arial"/>
          <w:b w:val="false"/>
          <w:bCs w:val="false"/>
          <w:i w:val="false"/>
          <w:iCs w:val="false"/>
          <w:color w:val="1A1A1A"/>
          <w:sz w:val="20"/>
          <w:szCs w:val="20"/>
        </w:rPr>
        <w:t xml:space="preserve">Hidden page — not accessible from navigation. Drill through filter: dim_Geography[StateProvince]. Triggered by right-clicking any data point containing StateProvince on any page. Back button top right returns to source page. Dynamic title using SELECTEDVALUE( dim_Geography[StateProvince] ).</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Fields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KPI Cards</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Card x4</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Total Profit, Profit Margin %, Avg Days to Ship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Top Cities by Revenue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Horizontal bar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dim_Geography[City]  X: Total Revenue — Top 10</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Avg Days to Ship by City</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Horizontal bar</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 dim_Geography[City]  X: Avg Days to Ship — sort descending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City Revenue Map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Map bubble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Location: City + StateProvince  Size: Total Revenue</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Conditional Formatting</w:t>
      </w:r>
    </w:p>
    <w:p>
      <w:pPr>
        <w:spacing w:before="40" w:after="100"/>
      </w:pPr>
      <w:r>
        <w:rPr>
          <w:rFonts w:ascii="Arial" w:cs="Arial" w:eastAsia="Arial" w:hAnsi="Arial"/>
          <w:b w:val="false"/>
          <w:bCs w:val="false"/>
          <w:i w:val="false"/>
          <w:iCs w:val="false"/>
          <w:color w:val="1A1A1A"/>
          <w:sz w:val="20"/>
          <w:szCs w:val="20"/>
        </w:rPr>
        <w:t xml:space="preserve">Revenue vs Target % and Revenue vs Target cards on all pages where they appear receive conditional font colour formatting. Rule 1: value &gt;= 0 returns green #107C10. Rule 2: value &lt; 0 returns red #D83B01. Applied via Format Visual → Callout value → Conditional formatting → Font color.</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Navigation</w:t>
      </w:r>
    </w:p>
    <w:p>
      <w:pPr>
        <w:spacing w:before="40" w:after="100"/>
      </w:pPr>
      <w:r>
        <w:rPr>
          <w:rFonts w:ascii="Arial" w:cs="Arial" w:eastAsia="Arial" w:hAnsi="Arial"/>
          <w:b w:val="false"/>
          <w:bCs w:val="false"/>
          <w:i w:val="false"/>
          <w:iCs w:val="false"/>
          <w:color w:val="1A1A1A"/>
          <w:sz w:val="20"/>
          <w:szCs w:val="20"/>
        </w:rPr>
        <w:t xml:space="preserve">A vertical left panel serves as the navigation control on all four analytics pages. The company logo sits at the top. Page buttons with icons are placed below — Sales Performance, Product Intelligence, Territory and Customers. Executive Summary is the landing page and has no button for itself. A ? button in the top right corner of the header on every analytics page navigates to the hidden Help page. The Help page contains a Back button that returns the user to the previous page.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jc w:val="center"/>
    </w:pPr>
    <w:r>
      <w:rPr>
        <w:rFonts w:ascii="Arial" w:cs="Arial" w:eastAsia="Arial" w:hAnsi="Arial"/>
        <w:b w:val="false"/>
        <w:bCs w:val="false"/>
        <w:i w:val="false"/>
        <w:iCs w:val="false"/>
        <w:color w:val="888888"/>
        <w:sz w:val="17"/>
        <w:szCs w:val="17"/>
      </w:rPr>
      <w:t xml:space="preserve">Phase 3 Narrative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before="0" w:after="80"/>
    </w:pPr>
    <w:r>
      <w:rPr>
        <w:rFonts w:ascii="Arial" w:cs="Arial" w:eastAsia="Arial" w:hAnsi="Arial"/>
        <w:b/>
        <w:bCs/>
        <w:i w:val="false"/>
        <w:iCs w:val="false"/>
        <w:color w:val="1F3864"/>
        <w:sz w:val="17"/>
        <w:szCs w:val="17"/>
      </w:rPr>
      <w:t xml:space="preserve">MechmanRetail — Phase 3: Modelling, DAX &amp; Visualisation Documentation</w:t>
    </w:r>
    <w:r>
      <w:rPr>
        <w:sz w:val="17"/>
        <w:szCs w:val="17"/>
      </w:rPr>
      <w:t xml:space="preserve">	</w:t>
    </w:r>
    <w:r>
      <w:rPr>
        <w:rFonts w:ascii="Arial" w:cs="Arial" w:eastAsia="Arial" w:hAnsi="Arial"/>
        <w:b w:val="false"/>
        <w:bCs w:val="false"/>
        <w:i w:val="false"/>
        <w:iCs w:val="false"/>
        <w:color w:val="666666"/>
        <w:sz w:val="17"/>
        <w:szCs w:val="17"/>
      </w:rPr>
      <w:t xml:space="preserve">Adiga Triumphant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2026-03-27T14:45:40.392Z</dcterms:created>
  <dcterms:modified xsi:type="dcterms:W3CDTF">2026-03-27T14:45:40.392Z</dcterms:modified>
</cp:coreProperties>
</file>

<file path=docProps/custom.xml><?xml version="1.0" encoding="utf-8"?>
<Properties xmlns="http://schemas.openxmlformats.org/officeDocument/2006/custom-properties" xmlns:vt="http://schemas.openxmlformats.org/officeDocument/2006/docPropsVTypes"/>
</file>