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80"/>
      </w:pPr>
      <w:r>
        <w:rPr>
          <w:rFonts w:ascii="Arial" w:cs="Arial" w:eastAsia="Arial" w:hAnsi="Arial"/>
          <w:b w:val="false"/>
          <w:bCs w:val="false"/>
          <w:i w:val="false"/>
          <w:iCs w:val="false"/>
          <w:color w:val="1A1A1A"/>
          <w:sz w:val="20"/>
          <w:szCs w:val="20"/>
        </w:rPr>
        <w:t xml:space="preserve"/>
      </w:r>
    </w:p>
    <w:p>
      <w:pPr>
        <w:spacing w:before="0" w:after="160"/>
        <w:jc w:val="center"/>
      </w:pPr>
      <w:r>
        <w:rPr>
          <w:rFonts w:ascii="Arial" w:cs="Arial" w:eastAsia="Arial" w:hAnsi="Arial"/>
          <w:b/>
          <w:bCs/>
          <w:i w:val="false"/>
          <w:iCs w:val="false"/>
          <w:color w:val="1F3864"/>
          <w:sz w:val="56"/>
          <w:szCs w:val="56"/>
        </w:rPr>
        <w:t xml:space="preserve">MechmanRetail</w:t>
      </w:r>
    </w:p>
    <w:p>
      <w:pPr>
        <w:spacing w:before="0" w:after="80"/>
        <w:jc w:val="center"/>
      </w:pPr>
      <w:r>
        <w:rPr>
          <w:rFonts w:ascii="Arial" w:cs="Arial" w:eastAsia="Arial" w:hAnsi="Arial"/>
          <w:b/>
          <w:bCs/>
          <w:i w:val="false"/>
          <w:iCs w:val="false"/>
          <w:color w:val="2E75B6"/>
          <w:sz w:val="36"/>
          <w:szCs w:val="36"/>
        </w:rPr>
        <w:t xml:space="preserve">BI Portfolio Project</w:t>
      </w:r>
    </w:p>
    <w:p>
      <w:pPr>
        <w:spacing w:before="0" w:after="320"/>
        <w:jc w:val="center"/>
      </w:pPr>
      <w:r>
        <w:rPr>
          <w:rFonts w:ascii="Arial" w:cs="Arial" w:eastAsia="Arial" w:hAnsi="Arial"/>
          <w:b w:val="false"/>
          <w:bCs w:val="false"/>
          <w:i w:val="false"/>
          <w:iCs w:val="false"/>
          <w:color w:val="444444"/>
          <w:sz w:val="24"/>
          <w:szCs w:val="24"/>
        </w:rPr>
        <w:t xml:space="preserve">Phase 4: Publishing &amp; Deployment — Documentation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spacing w:before="40" w:after="60"/>
              <w:jc w:val="center"/>
            </w:pPr>
            <w:r>
              <w:rPr>
                <w:rFonts w:ascii="Arial" w:cs="Arial" w:eastAsia="Arial" w:hAnsi="Arial"/>
                <w:b/>
                <w:bCs/>
                <w:i w:val="false"/>
                <w:iCs w:val="false"/>
                <w:color w:val="1F3864"/>
                <w:sz w:val="22"/>
                <w:szCs w:val="22"/>
              </w:rPr>
              <w:t xml:space="preserve">Author: Adiga Triumphant</w:t>
            </w:r>
          </w:p>
          <w:p>
            <w:pPr>
              <w:spacing w:before="0" w:after="40"/>
              <w:jc w:val="center"/>
            </w:pPr>
            <w:r>
              <w:rPr>
                <w:rFonts w:ascii="Arial" w:cs="Arial" w:eastAsia="Arial" w:hAnsi="Arial"/>
                <w:b w:val="false"/>
                <w:bCs w:val="false"/>
                <w:i w:val="false"/>
                <w:iCs w:val="false"/>
                <w:color w:val="444444"/>
                <w:sz w:val="20"/>
                <w:szCs w:val="20"/>
              </w:rPr>
              <w:t xml:space="preserve">Tools: Power BI Service  ·  Novypro  ·  GitHub</w:t>
            </w:r>
          </w:p>
          <w:p>
            <w:pPr>
              <w:spacing w:before="0" w:after="40"/>
              <w:jc w:val="center"/>
            </w:pPr>
            <w:r>
              <w:rPr>
                <w:rFonts w:ascii="Arial" w:cs="Arial" w:eastAsia="Arial" w:hAnsi="Arial"/>
                <w:b w:val="false"/>
                <w:bCs w:val="false"/>
                <w:i/>
                <w:iCs/>
                <w:color w:val="666666"/>
                <w:sz w:val="19"/>
                <w:szCs w:val="19"/>
              </w:rPr>
              <w:t xml:space="preserve">Publishing  ·  RLS Configuration  ·  Portfolio  ·  Version Control</w:t>
            </w:r>
          </w:p>
        </w:tc>
      </w:tr>
    </w:tbl>
    <w:p>
      <w:r>
        <w:br w:type="page"/>
      </w:r>
    </w:p>
    <w:p>
      <w:pPr>
        <w:pStyle w:val="Heading2"/>
        <w:pBdr>
          <w:bottom w:val="single" w:color="2E75B6" w:sz="4" w:space="2"/>
        </w:pBdr>
        <w:spacing w:before="320" w:after="120"/>
      </w:pPr>
      <w:r>
        <w:rPr>
          <w:rFonts w:ascii="Arial" w:cs="Arial" w:eastAsia="Arial" w:hAnsi="Arial"/>
          <w:b/>
          <w:bCs/>
          <w:i w:val="false"/>
          <w:iCs w:val="false"/>
          <w:color w:val="1F3864"/>
          <w:sz w:val="26"/>
          <w:szCs w:val="26"/>
        </w:rPr>
        <w:t xml:space="preserve">Phase Overview</w:t>
      </w:r>
    </w:p>
    <w:p>
      <w:pPr>
        <w:spacing w:before="40" w:after="100"/>
      </w:pPr>
      <w:r>
        <w:rPr>
          <w:rFonts w:ascii="Arial" w:cs="Arial" w:eastAsia="Arial" w:hAnsi="Arial"/>
          <w:b w:val="false"/>
          <w:bCs w:val="false"/>
          <w:i w:val="false"/>
          <w:iCs w:val="false"/>
          <w:color w:val="1A1A1A"/>
          <w:sz w:val="20"/>
          <w:szCs w:val="20"/>
        </w:rPr>
        <w:t xml:space="preserve">Phase 4 covers the deployment of the MechmanRetail BI report from Power BI Desktop to a publicly accessible portfolio platform, the configuration of Row Level Security in Power BI Service, and the version control setup for the SQL Server scripts on GitHub.</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Section</w:t>
            </w:r>
          </w:p>
        </w:tc>
        <w:tc>
          <w:tcPr>
            <w:tcW w:type="dxa" w:w="6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Content</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1</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Pre-publishing checklist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Publishing to Power BI Service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3</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Publish to Web — public embed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4</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On-premises Data Gateway — incremental refresh architecture</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5</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Row Level Security in Power BI Service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6</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Novypro — portfolio setup</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7</w:t>
            </w:r>
          </w:p>
        </w:tc>
        <w:tc>
          <w:tcPr>
            <w:tcW w:type="dxa" w:w="69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GitHub — repository structure and setup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1</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Pre-Publishing Checklist</w:t>
            </w:r>
          </w:p>
          <w:p>
            <w:pPr>
              <w:spacing w:before="0" w:after="0"/>
            </w:pPr>
            <w:r>
              <w:rPr>
                <w:rFonts w:ascii="Arial" w:cs="Arial" w:eastAsia="Arial" w:hAnsi="Arial"/>
                <w:b w:val="false"/>
                <w:bCs w:val="false"/>
                <w:i/>
                <w:iCs/>
                <w:color w:val="666666"/>
                <w:sz w:val="18"/>
                <w:szCs w:val="18"/>
              </w:rPr>
              <w:t xml:space="preserve">Final verification before publishing</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Check</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Detail</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All 8 relationships</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Five active, three inactive — verified in Model View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dim_Date marked as Date Table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Date column designated</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Field parameter — Metric</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Total Revenue and Total Profit. Synced Pages 1 and 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All 25 standalone measures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Including Target Revenue YTD</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Dynamic chart titles</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SWITCH on Metric Order column — confirmed switching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Edit interactions configured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Annual combo chart, rolling 12M, shipping bar, donut — slicer interactions disabled</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Slicer sync</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Year and BuyingGroup — all pages. Metric — Pages 1 and 3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City Detail drill through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Hidden page confirmed. StateProvince filter working.</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Navigation and ? button</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Vertical left panel. ? button on all four analytics pages.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Conditional formatting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Revenue vs Target cards — green #107C10, red #D83B01</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RLS role defined</w:t>
            </w:r>
          </w:p>
        </w:tc>
        <w:tc>
          <w:tcPr>
            <w:tcW w:type="dxa" w:w="6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Salesperson role with USERPRINCIPALNAME() + PATH() + PATHCONTAINS() filter</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2</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Publishing to Power BI Service</w:t>
            </w:r>
          </w:p>
          <w:p>
            <w:pPr>
              <w:spacing w:before="0" w:after="0"/>
            </w:pPr>
            <w:r>
              <w:rPr>
                <w:rFonts w:ascii="Arial" w:cs="Arial" w:eastAsia="Arial" w:hAnsi="Arial"/>
                <w:b w:val="false"/>
                <w:bCs w:val="false"/>
                <w:i/>
                <w:iCs/>
                <w:color w:val="666666"/>
                <w:sz w:val="18"/>
                <w:szCs w:val="18"/>
              </w:rPr>
              <w:t xml:space="preserve">Home ribbon → Publish</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Publishing from Power BI Desktop sends both the report and the semantic model to the selected workspace. The report is the interactive visualisation layer. The semantic model is the data layer containing all tables, relationships, and measures.</w:t>
      </w:r>
    </w:p>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Account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Option</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Requirement</w:t>
            </w:r>
          </w:p>
        </w:tc>
        <w:tc>
          <w:tcPr>
            <w:tcW w:type="dxa" w:w="1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Cost</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Existing work or school account</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Organisation or university email</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Free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Microsoft 365 Developer Programme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developer.microsoft.com/microsoft-365/dev-program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Free — 90-day renewable</w:t>
            </w:r>
          </w:p>
        </w:tc>
      </w:tr>
      <w:tr>
        <w:tc>
          <w:tcPr>
            <w:tcW w:type="dxa" w:w="32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Power BI Pro trial</w:t>
            </w:r>
          </w:p>
        </w:tc>
        <w:tc>
          <w:tcPr>
            <w:tcW w:type="dxa" w:w="45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Activate via app.powerbi.com</w:t>
            </w:r>
          </w:p>
        </w:tc>
        <w:tc>
          <w:tcPr>
            <w:tcW w:type="dxa" w:w="1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Free for 60 days</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The Microsoft 365 Developer Programme provides a full tenant with a work email and 25 user licences. It renews every 90 days when used actively and provides the full Power BI Pro feature set including Publish to Web, RLS configuration, and workspace sharing — the recommended path for portfolio developers without an organisational account.</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3</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Publish to Web</w:t>
            </w:r>
          </w:p>
          <w:p>
            <w:pPr>
              <w:spacing w:before="0" w:after="0"/>
            </w:pPr>
            <w:r>
              <w:rPr>
                <w:rFonts w:ascii="Arial" w:cs="Arial" w:eastAsia="Arial" w:hAnsi="Arial"/>
                <w:b w:val="false"/>
                <w:bCs w:val="false"/>
                <w:i/>
                <w:iCs/>
                <w:color w:val="666666"/>
                <w:sz w:val="18"/>
                <w:szCs w:val="18"/>
              </w:rPr>
              <w:t xml:space="preserve">File → Embed report → Publish to web (public)</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Publish to Web generates a public URL and embed code making the report accessible to anyone without a Power BI account. The report — not a dashboard — is published. Publishing the report preserves the full interactive experience including all four pages, slicers, cross-filtering, drill through, and the field parameter. A Power BI dashboard would show only static pinned tiles with no interactivity.</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The Publish to Web link is what Novypro uses to display the live interactive report in an iframe. When a recruiter opens the Novypro portfolio entry they interact with the full report in the browser — clicking slicers, drilling through, and navigating pages — exactly as it behaves in Power BI Service. This is significantly more impressive than a static screenshot.</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4</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On-Premises Data Gateway</w:t>
            </w:r>
          </w:p>
          <w:p>
            <w:pPr>
              <w:spacing w:before="0" w:after="0"/>
            </w:pPr>
            <w:r>
              <w:rPr>
                <w:rFonts w:ascii="Arial" w:cs="Arial" w:eastAsia="Arial" w:hAnsi="Arial"/>
                <w:b w:val="false"/>
                <w:bCs w:val="false"/>
                <w:i/>
                <w:iCs/>
                <w:color w:val="666666"/>
                <w:sz w:val="18"/>
                <w:szCs w:val="18"/>
              </w:rPr>
              <w:t xml:space="preserve">Incremental refresh architecture</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The MechmanRetail semantic model connects to SQL Server running on a local machine. The On-premises Data Gateway bridges Power BI Service in the cloud to the local SQL Server instance. The gateway runs as a Windows service on the same machine as SQL Server and relays refresh requests from Power BI Service to the local databases.</w:t>
      </w:r>
    </w:p>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Incremental Refresh Pattern</w:t>
      </w:r>
    </w:p>
    <w:p>
      <w:pPr>
        <w:spacing w:before="40" w:after="100"/>
      </w:pPr>
      <w:r>
        <w:rPr>
          <w:rFonts w:ascii="Arial" w:cs="Arial" w:eastAsia="Arial" w:hAnsi="Arial"/>
          <w:b w:val="false"/>
          <w:bCs w:val="false"/>
          <w:i w:val="false"/>
          <w:iCs w:val="false"/>
          <w:color w:val="1A1A1A"/>
          <w:sz w:val="20"/>
          <w:szCs w:val="20"/>
        </w:rPr>
        <w:t xml:space="preserve">Power BI incremental refresh is configured using two reserved Power Query parameters — RangeStart and RangeEnd — that Power BI uses to partition the semantic model by date range. Historical partitions — 2017, 2018, 2019 — are preserved in the model and never refreshed on each cycle. Only the current period partition — the latest months — is queried from the source. This mirrors exactly what sp_LoadLatestMonthToDEV and sp_PromoteDEVtoPROD do at the SQL Server layer — only new months are processed, historical data is preserved.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Layer</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Tool</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Incremental Pattern</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SQL Server</w:t>
            </w:r>
          </w:p>
        </w:tc>
        <w:tc>
          <w:tcPr>
            <w:tcW w:type="dxa" w:w="28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sp_LoadLatestMonthToDEV + sp_PromoteDEVtoPROD</w:t>
            </w:r>
          </w:p>
        </w:tc>
        <w:tc>
          <w:tcPr>
            <w:tcW w:type="dxa" w:w="41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Month-level detection — SOURCE vs PROD. Only new months staged and promoted.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Power BI Service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Incremental refresh — RangeStart / RangeEnd parameters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Date-partitioned model. Only current period partition refreshed each cycle.</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5</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Row Level Security in Power BI Service</w:t>
            </w:r>
          </w:p>
          <w:p>
            <w:pPr>
              <w:spacing w:before="0" w:after="0"/>
            </w:pPr>
            <w:r>
              <w:rPr>
                <w:rFonts w:ascii="Arial" w:cs="Arial" w:eastAsia="Arial" w:hAnsi="Arial"/>
                <w:b w:val="false"/>
                <w:bCs w:val="false"/>
                <w:i/>
                <w:iCs/>
                <w:color w:val="666666"/>
                <w:sz w:val="18"/>
                <w:szCs w:val="18"/>
              </w:rPr>
              <w:t xml:space="preserve">Semantic model Security settings</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The RLS role filter defined in Power BI Desktop uses USERPRINCIPALNAME() matched against dim_Employee[Email] with PATH() and PATHCONTAINS() traversing ParentEmployeeKey for hierarchy-aware access. After publishing the role must be configured in Power BI Service to assign real user accounts.</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Layer</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Method</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Status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SQL Server</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fn_SalesTerritoryPredicate — territory-based CityKey filter</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Inactive — STATE = OFF. Activated only if switching to DirectQuery.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Power BI Desktop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USERPRINCIPALNAME() + PATH() + PATHCONTAINS() on dim_Employee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Defined in Manage Roles</w:t>
            </w:r>
          </w:p>
        </w:tc>
      </w:tr>
      <w:tr>
        <w:tc>
          <w:tcPr>
            <w:tcW w:type="dxa" w:w="24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bCs/>
                <w:i w:val="false"/>
                <w:iCs w:val="false"/>
                <w:color w:val="1A1A1A"/>
                <w:sz w:val="17"/>
                <w:szCs w:val="17"/>
              </w:rPr>
              <w:t xml:space="preserve">Power BI Service</w:t>
            </w:r>
          </w:p>
        </w:tc>
        <w:tc>
          <w:tcPr>
            <w:tcW w:type="dxa" w:w="436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User email addresses assigned to Salesperson role</w:t>
            </w:r>
          </w:p>
        </w:tc>
        <w:tc>
          <w:tcPr>
            <w:tcW w:type="dxa" w:w="2600"/>
            <w:tcBorders>
              <w:top w:val="single" w:color="CCCCCC" w:sz="1"/>
              <w:left w:val="single" w:color="CCCCCC" w:sz="1"/>
              <w:bottom w:val="single" w:color="CCCCCC" w:sz="1"/>
              <w:right w:val="single" w:color="CCCCCC" w:sz="1"/>
            </w:tcBorders>
            <w:shd w:fill="F5F9FF" w:val="clear"/>
            <w:tcMar>
              <w:top w:type="dxa" w:w="60"/>
              <w:left w:type="dxa" w:w="120"/>
              <w:bottom w:type="dxa" w:w="60"/>
              <w:right w:type="dxa" w:w="120"/>
            </w:tcMar>
          </w:tcPr>
          <w:p>
            <w:r>
              <w:rPr>
                <w:rFonts w:ascii="Arial" w:cs="Arial" w:eastAsia="Arial" w:hAnsi="Arial"/>
                <w:b w:val="false"/>
                <w:bCs w:val="false"/>
                <w:i w:val="false"/>
                <w:iCs w:val="false"/>
                <w:color w:val="1A1A1A"/>
                <w:sz w:val="17"/>
                <w:szCs w:val="17"/>
              </w:rPr>
              <w:t xml:space="preserve">Configured post-publish</w:t>
            </w:r>
          </w:p>
        </w:tc>
      </w:tr>
    </w:tbl>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2"/>
              <w:bottom w:val="none" w:color="FFFFFF" w:sz="0"/>
              <w:right w:val="none" w:color="FFFFFF" w:sz="0"/>
            </w:tcBorders>
            <w:shd w:fill="EBF3FB" w:val="clear"/>
            <w:tcMar>
              <w:top w:type="dxa" w:w="80"/>
              <w:left w:type="dxa" w:w="160"/>
              <w:bottom w:type="dxa" w:w="80"/>
              <w:right w:type="dxa" w:w="120"/>
            </w:tcMar>
          </w:tcPr>
          <w:p>
            <w:pPr>
              <w:spacing w:before="40" w:after="40"/>
            </w:pPr>
            <w:r>
              <w:rPr>
                <w:rFonts w:ascii="Arial" w:cs="Arial" w:eastAsia="Arial" w:hAnsi="Arial"/>
                <w:b/>
                <w:bCs/>
                <w:i w:val="false"/>
                <w:iCs w:val="false"/>
                <w:color w:val="2E75B6"/>
                <w:sz w:val="19"/>
                <w:szCs w:val="19"/>
              </w:rPr>
              <w:t xml:space="preserve">Reason: </w:t>
            </w:r>
            <w:r>
              <w:rPr>
                <w:rFonts w:ascii="Arial" w:cs="Arial" w:eastAsia="Arial" w:hAnsi="Arial"/>
                <w:b w:val="false"/>
                <w:bCs w:val="false"/>
                <w:i w:val="false"/>
                <w:iCs w:val="false"/>
                <w:color w:val="1A1A1A"/>
                <w:sz w:val="19"/>
                <w:szCs w:val="19"/>
              </w:rPr>
              <w:t xml:space="preserve">Workspace members with Admin, Member, or Contributor roles bypass RLS and always see all data. Only Viewer role workspace members are subject to RLS filtering. Assign report viewers as Viewer role in the workspace to ensure RLS is enforced correctly.</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6</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Novypro — Portfolio Setup</w:t>
            </w:r>
          </w:p>
          <w:p>
            <w:pPr>
              <w:spacing w:before="0" w:after="0"/>
            </w:pPr>
            <w:r>
              <w:rPr>
                <w:rFonts w:ascii="Arial" w:cs="Arial" w:eastAsia="Arial" w:hAnsi="Arial"/>
                <w:b w:val="false"/>
                <w:bCs w:val="false"/>
                <w:i/>
                <w:iCs/>
                <w:color w:val="666666"/>
                <w:sz w:val="18"/>
                <w:szCs w:val="18"/>
              </w:rPr>
              <w:t xml:space="preserve">novypro.com</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Novypro is the standard portfolio platform for Power BI developers. It hosts live interactive reports embedded from Power BI Service allowing recruiters to interact with the full report in a browser without a Power BI account.</w:t>
      </w:r>
    </w:p>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Project Overview Text</w:t>
      </w:r>
    </w:p>
    <w:p>
      <w:pPr>
        <w:spacing w:before="40" w:after="100"/>
      </w:pPr>
      <w:r>
        <w:rPr>
          <w:rFonts w:ascii="Arial" w:cs="Arial" w:eastAsia="Arial" w:hAnsi="Arial"/>
          <w:b w:val="false"/>
          <w:bCs w:val="false"/>
          <w:i w:val="false"/>
          <w:iCs w:val="false"/>
          <w:color w:val="1A1A1A"/>
          <w:sz w:val="20"/>
          <w:szCs w:val="20"/>
        </w:rPr>
        <w:t xml:space="preserve">The following text is confirmed for the Novypro overview field:</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9A84C" w:sz="12"/>
              <w:bottom w:val="single" w:color="CCCCCC" w:sz="1"/>
              <w:right w:val="none" w:color="FFFFFF" w:sz="0"/>
            </w:tcBorders>
            <w:shd w:fill="FFFBF0" w:val="clear"/>
            <w:tcMar>
              <w:top w:type="dxa" w:w="100"/>
              <w:left w:type="dxa" w:w="160"/>
              <w:bottom w:type="dxa" w:w="100"/>
              <w:right w:type="dxa" w:w="120"/>
            </w:tcMar>
          </w:tcPr>
          <w:p>
            <w:pPr>
              <w:spacing w:before="0" w:after="80"/>
            </w:pPr>
            <w:r>
              <w:rPr>
                <w:rFonts w:ascii="Arial" w:cs="Arial" w:eastAsia="Arial" w:hAnsi="Arial"/>
                <w:b w:val="false"/>
                <w:bCs w:val="false"/>
                <w:i w:val="false"/>
                <w:iCs w:val="false"/>
                <w:color w:val="1A1A1A"/>
                <w:sz w:val="18"/>
                <w:szCs w:val="18"/>
              </w:rPr>
              <w:t xml:space="preserve">This project covers the complete Business Intelligence development lifecycle for a fictional retail company — Mechman Retail — built on the Wide World Importers dataset. The dataset spans 228,265 sales transactions across May 2017 to October 2020, covering $172M in revenue at an average profit margin of 49.8% across 403 customers, 672 products, 8 salespeople, and 9 US sales territories.</w:t>
            </w:r>
          </w:p>
          <w:p>
            <w:pPr>
              <w:spacing w:before="0" w:after="80"/>
            </w:pPr>
            <w:r>
              <w:rPr>
                <w:rFonts w:ascii="Arial" w:cs="Arial" w:eastAsia="Arial" w:hAnsi="Arial"/>
                <w:b w:val="false"/>
                <w:bCs w:val="false"/>
                <w:i w:val="false"/>
                <w:iCs w:val="false"/>
                <w:color w:val="1A1A1A"/>
                <w:sz w:val="18"/>
                <w:szCs w:val="18"/>
              </w:rPr>
              <w:t xml:space="preserve">Phase 1 — SQL Server
The project implements a three-tier architecture across MechmanRetail_SOURCE, MechmanRetail_DEV, and MechmanRetail_PROD. SOURCE holds the full raw dataset. DEV is a staging environment holding only the latest unprocessed month. PROD holds the full historical dataset that Power BI connects to. The source table dbo.Sale was left unchanged — column standardisation applied at the view layer via vw_Sales_Base which exposes only the 12 consumed columns with clean camelCase aliases and WITH SCHEMABINDING. Five unused columns deliberately excluded. vw_Salesperson_KPI retained as a database-layer analytical endpoint using RANK() window function. vw_Territory_Sales retained as RLS bridge alongside the inactive policy. Three stored procedures implement the incremental pipeline — sp_LoadLatestMonthToDEV detects the latest month in SOURCE absent from PROD at month-level granularity and stages it into DEV automatically, sp_EnvironmentHealthCheck provides read-only diagnostic validation, and sp_PromoteDEVtoPROD validates DEV inline, promotes only new months inside a transaction with row count validation, then validates PROD inline. Nine WITHOUT LOGIN users created with SELECT on vw_Sales_Base only. RLS policy STATE = OFF — defence-in-depth measure for direct database access scenarios.</w:t>
            </w:r>
          </w:p>
          <w:p>
            <w:pPr>
              <w:spacing w:before="0" w:after="80"/>
            </w:pPr>
            <w:r>
              <w:rPr>
                <w:rFonts w:ascii="Arial" w:cs="Arial" w:eastAsia="Arial" w:hAnsi="Arial"/>
                <w:b w:val="false"/>
                <w:bCs w:val="false"/>
                <w:i w:val="false"/>
                <w:iCs w:val="false"/>
                <w:color w:val="1A1A1A"/>
                <w:sz w:val="18"/>
                <w:szCs w:val="18"/>
              </w:rPr>
              <w:t xml:space="preserve">Phase 2 — Power Query
Nine queries built transforming six source files into a clean star schema. Key decisions: galaxy-to-star schema flattening of geography via Left Outer join on StateProvinceKey, folder connection for 2017–2019 target CSVs with BuyingGroup dirty data cleaned using Trim and Capitalize Each Word, M code date construction for 2020 targets converting month names to end-of-month dates, dim_Targets_All with EndOfMonth and BuyingGroup as natural composite key. dim_Employee retains Email and ParentEmployeeKey for hierarchy-aware RLS. MonthStart column added to dim_Date using DATE() at monthly grain for forecast visual X axis.</w:t>
            </w:r>
          </w:p>
          <w:p>
            <w:pPr>
              <w:spacing w:before="0" w:after="80"/>
            </w:pPr>
            <w:r>
              <w:rPr>
                <w:rFonts w:ascii="Arial" w:cs="Arial" w:eastAsia="Arial" w:hAnsi="Arial"/>
                <w:b w:val="false"/>
                <w:bCs w:val="false"/>
                <w:i w:val="false"/>
                <w:iCs w:val="false"/>
                <w:color w:val="1A1A1A"/>
                <w:sz w:val="18"/>
                <w:szCs w:val="18"/>
              </w:rPr>
              <w:t xml:space="preserve">Phase 3 — Power BI Desktop
Eight relationships — five active star schema with Single cross-filter, three inactive activated via USERELATIONSHIP(). Field parameter Metric switches between Total Revenue and Total Profit on Pages 1 and 3. 25 standalone DAX measures — time intelligence written individually for both Revenue and Profit rather than through a calculation group, allowing each measure to be placed deliberately into specific visuals without page-wide slicer complications. Key measures: Avg Days to Ship using AVERAGEX with DATEDIFF, Target Revenue activating both inactive dim_Targets_All relationships simultaneously, Salesperson Revenue Rank using RANKX with DENSE and HASONEVALUE. RLS uses USERPRINCIPALNAME() matched against dim_Employee[Email] with PATH() and PATHCONTAINS() for hierarchy-aware manager access. Four-page report with hidden City Detail drill through page. Forecast visual using MonthStart X axis.</w:t>
            </w:r>
          </w:p>
          <w:p>
            <w:pPr>
              <w:spacing w:before="0" w:after="80"/>
            </w:pPr>
            <w:r>
              <w:rPr>
                <w:rFonts w:ascii="Arial" w:cs="Arial" w:eastAsia="Arial" w:hAnsi="Arial"/>
                <w:b w:val="false"/>
                <w:bCs w:val="false"/>
                <w:i w:val="false"/>
                <w:iCs w:val="false"/>
                <w:color w:val="1A1A1A"/>
                <w:sz w:val="18"/>
                <w:szCs w:val="18"/>
              </w:rPr>
              <w:t xml:space="preserve">Tools: SQL Server 2019 · Power BI Desktop · Power Query · DAX · Power BI Service · Novypro · GitHub</w:t>
            </w:r>
          </w:p>
        </w:tc>
      </w:tr>
    </w:tbl>
    <w:p>
      <w:pPr>
        <w:spacing w:before="0" w:after="80"/>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9A84C" w:val="clear"/>
            <w:tcMar>
              <w:top w:type="dxa" w:w="100"/>
              <w:left w:type="dxa" w:w="120"/>
              <w:bottom w:type="dxa" w:w="100"/>
              <w:right w:type="dxa" w:w="120"/>
            </w:tcMar>
          </w:tcPr>
          <w:p>
            <w:pPr>
              <w:jc w:val="center"/>
            </w:pPr>
            <w:r>
              <w:rPr>
                <w:rFonts w:ascii="Arial" w:cs="Arial" w:eastAsia="Arial" w:hAnsi="Arial"/>
                <w:b/>
                <w:bCs/>
                <w:i w:val="false"/>
                <w:iCs w:val="false"/>
                <w:color w:val="FFFFFF"/>
                <w:sz w:val="28"/>
                <w:szCs w:val="28"/>
              </w:rPr>
              <w:t xml:space="preserve">7</w:t>
            </w:r>
          </w:p>
        </w:tc>
        <w:tc>
          <w:tcPr>
            <w:tcW w:type="dxa" w:w="8640"/>
            <w:tcBorders>
              <w:top w:val="none" w:color="FFFFFF" w:sz="0"/>
              <w:left w:val="none" w:color="FFFFFF" w:sz="0"/>
              <w:bottom w:val="single" w:color="C9A84C" w:sz="3"/>
              <w:right w:val="none" w:color="FFFFFF" w:sz="0"/>
            </w:tcBorders>
            <w:shd w:fill="FAFAFA" w:val="clear"/>
            <w:tcMar>
              <w:top w:type="dxa" w:w="80"/>
              <w:left w:type="dxa" w:w="160"/>
              <w:bottom w:type="dxa" w:w="80"/>
              <w:right w:type="dxa" w:w="120"/>
            </w:tcMar>
          </w:tcPr>
          <w:p>
            <w:pPr>
              <w:spacing w:before="0" w:after="20"/>
            </w:pPr>
            <w:r>
              <w:rPr>
                <w:rFonts w:ascii="Arial" w:cs="Arial" w:eastAsia="Arial" w:hAnsi="Arial"/>
                <w:b/>
                <w:bCs/>
                <w:i w:val="false"/>
                <w:iCs w:val="false"/>
                <w:color w:val="1F3864"/>
                <w:sz w:val="26"/>
                <w:szCs w:val="26"/>
              </w:rPr>
              <w:t xml:space="preserve">GitHub — Repository Setup</w:t>
            </w:r>
          </w:p>
          <w:p>
            <w:pPr>
              <w:spacing w:before="0" w:after="0"/>
            </w:pPr>
            <w:r>
              <w:rPr>
                <w:rFonts w:ascii="Arial" w:cs="Arial" w:eastAsia="Arial" w:hAnsi="Arial"/>
                <w:b w:val="false"/>
                <w:bCs w:val="false"/>
                <w:i/>
                <w:iCs/>
                <w:color w:val="666666"/>
                <w:sz w:val="18"/>
                <w:szCs w:val="18"/>
              </w:rPr>
              <w:t xml:space="preserve">git + github.com</w:t>
            </w:r>
          </w:p>
        </w:tc>
      </w:tr>
    </w:tbl>
    <w:p>
      <w:pPr>
        <w:spacing w:before="0" w:after="80"/>
      </w:pPr>
      <w:r>
        <w:rPr>
          <w:rFonts w:ascii="Arial" w:cs="Arial" w:eastAsia="Arial" w:hAnsi="Arial"/>
          <w:b w:val="false"/>
          <w:bCs w:val="false"/>
          <w:i w:val="false"/>
          <w:iCs w:val="false"/>
          <w:color w:val="1A1A1A"/>
          <w:sz w:val="20"/>
          <w:szCs w:val="20"/>
        </w:rPr>
        <w:t xml:space="preserve"/>
      </w:r>
    </w:p>
    <w:p>
      <w:pPr>
        <w:spacing w:before="40" w:after="100"/>
      </w:pPr>
      <w:r>
        <w:rPr>
          <w:rFonts w:ascii="Arial" w:cs="Arial" w:eastAsia="Arial" w:hAnsi="Arial"/>
          <w:b w:val="false"/>
          <w:bCs w:val="false"/>
          <w:i w:val="false"/>
          <w:iCs w:val="false"/>
          <w:color w:val="1A1A1A"/>
          <w:sz w:val="20"/>
          <w:szCs w:val="20"/>
        </w:rPr>
        <w:t xml:space="preserve">The SQL Server scripts are version-controlled on GitHub in a public repository. The repository structure separates SQL scripts, documentation, and screenshots.</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333333" w:sz="12"/>
              <w:bottom w:val="single" w:color="333333" w:sz="1"/>
              <w:right w:val="none" w:color="FFFFFF" w:sz="0"/>
            </w:tcBorders>
            <w:shd w:fill="1E1E1E" w:val="clear"/>
            <w:tcMar>
              <w:top w:type="dxa" w:w="100"/>
              <w:left w:type="dxa" w:w="200"/>
              <w:bottom w:type="dxa" w:w="100"/>
              <w:right w:type="dxa" w:w="120"/>
            </w:tcMar>
          </w:tcPr>
          <w:p>
            <w:pPr>
              <w:spacing w:before="0" w:after="36"/>
            </w:pPr>
            <w:r>
              <w:rPr>
                <w:rFonts w:ascii="Consolas" w:cs="Consolas" w:eastAsia="Consolas" w:hAnsi="Consolas"/>
                <w:b w:val="false"/>
                <w:bCs w:val="false"/>
                <w:i w:val="false"/>
                <w:iCs w:val="false"/>
                <w:color w:val="9CDCFE"/>
                <w:sz w:val="18"/>
                <w:szCs w:val="18"/>
              </w:rPr>
              <w:t xml:space="preserve">MechmanRetail-BI/</w:t>
            </w:r>
          </w:p>
          <w:p>
            <w:pPr>
              <w:spacing w:before="0" w:after="36"/>
            </w:pPr>
            <w:r>
              <w:rPr>
                <w:rFonts w:ascii="Consolas" w:cs="Consolas" w:eastAsia="Consolas" w:hAnsi="Consolas"/>
                <w:b w:val="false"/>
                <w:bCs w:val="false"/>
                <w:i w:val="false"/>
                <w:iCs w:val="false"/>
                <w:color w:val="9CDCFE"/>
                <w:sz w:val="18"/>
                <w:szCs w:val="18"/>
              </w:rPr>
              <w:t xml:space="preserve">├── README.md</w:t>
            </w:r>
          </w:p>
          <w:p>
            <w:pPr>
              <w:spacing w:before="0" w:after="36"/>
            </w:pPr>
            <w:r>
              <w:rPr>
                <w:rFonts w:ascii="Consolas" w:cs="Consolas" w:eastAsia="Consolas" w:hAnsi="Consolas"/>
                <w:b w:val="false"/>
                <w:bCs w:val="false"/>
                <w:i w:val="false"/>
                <w:iCs w:val="false"/>
                <w:color w:val="9CDCFE"/>
                <w:sz w:val="18"/>
                <w:szCs w:val="18"/>
              </w:rPr>
              <w:t xml:space="preserve">├── .gitignore</w:t>
            </w:r>
          </w:p>
          <w:p>
            <w:pPr>
              <w:spacing w:before="0" w:after="36"/>
            </w:pPr>
            <w:r>
              <w:rPr>
                <w:rFonts w:ascii="Consolas" w:cs="Consolas" w:eastAsia="Consolas" w:hAnsi="Consolas"/>
                <w:b w:val="false"/>
                <w:bCs w:val="false"/>
                <w:i w:val="false"/>
                <w:iCs w:val="false"/>
                <w:color w:val="9CDCFE"/>
                <w:sz w:val="18"/>
                <w:szCs w:val="18"/>
              </w:rPr>
              <w:t xml:space="preserve">├── sql/</w:t>
            </w:r>
          </w:p>
          <w:p>
            <w:pPr>
              <w:spacing w:before="0" w:after="36"/>
            </w:pPr>
            <w:r>
              <w:rPr>
                <w:rFonts w:ascii="Consolas" w:cs="Consolas" w:eastAsia="Consolas" w:hAnsi="Consolas"/>
                <w:b w:val="false"/>
                <w:bCs w:val="false"/>
                <w:i w:val="false"/>
                <w:iCs w:val="false"/>
                <w:color w:val="9CDCFE"/>
                <w:sz w:val="18"/>
                <w:szCs w:val="18"/>
              </w:rPr>
              <w:t xml:space="preserve">│   └── Phase1_Implementation_Final.sql</w:t>
            </w:r>
          </w:p>
          <w:p>
            <w:pPr>
              <w:spacing w:before="0" w:after="36"/>
            </w:pPr>
            <w:r>
              <w:rPr>
                <w:rFonts w:ascii="Consolas" w:cs="Consolas" w:eastAsia="Consolas" w:hAnsi="Consolas"/>
                <w:b w:val="false"/>
                <w:bCs w:val="false"/>
                <w:i w:val="false"/>
                <w:iCs w:val="false"/>
                <w:color w:val="9CDCFE"/>
                <w:sz w:val="18"/>
                <w:szCs w:val="18"/>
              </w:rPr>
              <w:t xml:space="preserve">├── docs/</w:t>
            </w:r>
          </w:p>
          <w:p>
            <w:pPr>
              <w:spacing w:before="0" w:after="36"/>
            </w:pPr>
            <w:r>
              <w:rPr>
                <w:rFonts w:ascii="Consolas" w:cs="Consolas" w:eastAsia="Consolas" w:hAnsi="Consolas"/>
                <w:b w:val="false"/>
                <w:bCs w:val="false"/>
                <w:i w:val="false"/>
                <w:iCs w:val="false"/>
                <w:color w:val="9CDCFE"/>
                <w:sz w:val="18"/>
                <w:szCs w:val="18"/>
              </w:rPr>
              <w:t xml:space="preserve">│   ├── Phase1_Narrative_Final.docx</w:t>
            </w:r>
          </w:p>
          <w:p>
            <w:pPr>
              <w:spacing w:before="0" w:after="36"/>
            </w:pPr>
            <w:r>
              <w:rPr>
                <w:rFonts w:ascii="Consolas" w:cs="Consolas" w:eastAsia="Consolas" w:hAnsi="Consolas"/>
                <w:b w:val="false"/>
                <w:bCs w:val="false"/>
                <w:i w:val="false"/>
                <w:iCs w:val="false"/>
                <w:color w:val="9CDCFE"/>
                <w:sz w:val="18"/>
                <w:szCs w:val="18"/>
              </w:rPr>
              <w:t xml:space="preserve">│   ├── Phase1_Guide_Final.docx</w:t>
            </w:r>
          </w:p>
          <w:p>
            <w:pPr>
              <w:spacing w:before="0" w:after="36"/>
            </w:pPr>
            <w:r>
              <w:rPr>
                <w:rFonts w:ascii="Consolas" w:cs="Consolas" w:eastAsia="Consolas" w:hAnsi="Consolas"/>
                <w:b w:val="false"/>
                <w:bCs w:val="false"/>
                <w:i w:val="false"/>
                <w:iCs w:val="false"/>
                <w:color w:val="9CDCFE"/>
                <w:sz w:val="18"/>
                <w:szCs w:val="18"/>
              </w:rPr>
              <w:t xml:space="preserve">│   ├── Phase2_PowerQuery_Narrative_Final.docx</w:t>
            </w:r>
          </w:p>
          <w:p>
            <w:pPr>
              <w:spacing w:before="0" w:after="36"/>
            </w:pPr>
            <w:r>
              <w:rPr>
                <w:rFonts w:ascii="Consolas" w:cs="Consolas" w:eastAsia="Consolas" w:hAnsi="Consolas"/>
                <w:b w:val="false"/>
                <w:bCs w:val="false"/>
                <w:i w:val="false"/>
                <w:iCs w:val="false"/>
                <w:color w:val="9CDCFE"/>
                <w:sz w:val="18"/>
                <w:szCs w:val="18"/>
              </w:rPr>
              <w:t xml:space="preserve">│   ├── Phase3_Narrative_Final.docx</w:t>
            </w:r>
          </w:p>
          <w:p>
            <w:pPr>
              <w:spacing w:before="0" w:after="36"/>
            </w:pPr>
            <w:r>
              <w:rPr>
                <w:rFonts w:ascii="Consolas" w:cs="Consolas" w:eastAsia="Consolas" w:hAnsi="Consolas"/>
                <w:b w:val="false"/>
                <w:bCs w:val="false"/>
                <w:i w:val="false"/>
                <w:iCs w:val="false"/>
                <w:color w:val="9CDCFE"/>
                <w:sz w:val="18"/>
                <w:szCs w:val="18"/>
              </w:rPr>
              <w:t xml:space="preserve">│   ├── Phase3_Guide_Final.docx</w:t>
            </w:r>
          </w:p>
          <w:p>
            <w:pPr>
              <w:spacing w:before="0" w:after="36"/>
            </w:pPr>
            <w:r>
              <w:rPr>
                <w:rFonts w:ascii="Consolas" w:cs="Consolas" w:eastAsia="Consolas" w:hAnsi="Consolas"/>
                <w:b w:val="false"/>
                <w:bCs w:val="false"/>
                <w:i w:val="false"/>
                <w:iCs w:val="false"/>
                <w:color w:val="9CDCFE"/>
                <w:sz w:val="18"/>
                <w:szCs w:val="18"/>
              </w:rPr>
              <w:t xml:space="preserve">│   ├── Phase4_Narrative_Final.docx</w:t>
            </w:r>
          </w:p>
          <w:p>
            <w:pPr>
              <w:spacing w:before="0" w:after="36"/>
            </w:pPr>
            <w:r>
              <w:rPr>
                <w:rFonts w:ascii="Consolas" w:cs="Consolas" w:eastAsia="Consolas" w:hAnsi="Consolas"/>
                <w:b w:val="false"/>
                <w:bCs w:val="false"/>
                <w:i w:val="false"/>
                <w:iCs w:val="false"/>
                <w:color w:val="9CDCFE"/>
                <w:sz w:val="18"/>
                <w:szCs w:val="18"/>
              </w:rPr>
              <w:t xml:space="preserve">│   ├── Phase4_Guide_Final.docx</w:t>
            </w:r>
          </w:p>
          <w:p>
            <w:pPr>
              <w:spacing w:before="0" w:after="36"/>
            </w:pPr>
            <w:r>
              <w:rPr>
                <w:rFonts w:ascii="Consolas" w:cs="Consolas" w:eastAsia="Consolas" w:hAnsi="Consolas"/>
                <w:b w:val="false"/>
                <w:bCs w:val="false"/>
                <w:i w:val="false"/>
                <w:iCs w:val="false"/>
                <w:color w:val="9CDCFE"/>
                <w:sz w:val="18"/>
                <w:szCs w:val="18"/>
              </w:rPr>
              <w:t xml:space="preserve">│   └── MechmanRetail_User_Guide.docx</w:t>
            </w:r>
          </w:p>
          <w:p>
            <w:pPr>
              <w:spacing w:before="0" w:after="36"/>
            </w:pPr>
            <w:r>
              <w:rPr>
                <w:rFonts w:ascii="Consolas" w:cs="Consolas" w:eastAsia="Consolas" w:hAnsi="Consolas"/>
                <w:b w:val="false"/>
                <w:bCs w:val="false"/>
                <w:i w:val="false"/>
                <w:iCs w:val="false"/>
                <w:color w:val="9CDCFE"/>
                <w:sz w:val="18"/>
                <w:szCs w:val="18"/>
              </w:rPr>
              <w:t xml:space="preserve">└── screenshots/</w:t>
            </w:r>
          </w:p>
          <w:p>
            <w:pPr>
              <w:spacing w:before="0" w:after="36"/>
            </w:pPr>
            <w:r>
              <w:rPr>
                <w:rFonts w:ascii="Consolas" w:cs="Consolas" w:eastAsia="Consolas" w:hAnsi="Consolas"/>
                <w:b w:val="false"/>
                <w:bCs w:val="false"/>
                <w:i w:val="false"/>
                <w:iCs w:val="false"/>
                <w:color w:val="9CDCFE"/>
                <w:sz w:val="18"/>
                <w:szCs w:val="18"/>
              </w:rPr>
              <w:t xml:space="preserve">    ├── page1_executive_summary.png</w:t>
            </w:r>
          </w:p>
          <w:p>
            <w:pPr>
              <w:spacing w:before="0" w:after="36"/>
            </w:pPr>
            <w:r>
              <w:rPr>
                <w:rFonts w:ascii="Consolas" w:cs="Consolas" w:eastAsia="Consolas" w:hAnsi="Consolas"/>
                <w:b w:val="false"/>
                <w:bCs w:val="false"/>
                <w:i w:val="false"/>
                <w:iCs w:val="false"/>
                <w:color w:val="9CDCFE"/>
                <w:sz w:val="18"/>
                <w:szCs w:val="18"/>
              </w:rPr>
              <w:t xml:space="preserve">    ├── page2_sales_performance.png</w:t>
            </w:r>
          </w:p>
          <w:p>
            <w:pPr>
              <w:spacing w:before="0" w:after="36"/>
            </w:pPr>
            <w:r>
              <w:rPr>
                <w:rFonts w:ascii="Consolas" w:cs="Consolas" w:eastAsia="Consolas" w:hAnsi="Consolas"/>
                <w:b w:val="false"/>
                <w:bCs w:val="false"/>
                <w:i w:val="false"/>
                <w:iCs w:val="false"/>
                <w:color w:val="9CDCFE"/>
                <w:sz w:val="18"/>
                <w:szCs w:val="18"/>
              </w:rPr>
              <w:t xml:space="preserve">    ├── page3_product_intelligence.png</w:t>
            </w:r>
          </w:p>
          <w:p>
            <w:pPr>
              <w:spacing w:before="0" w:after="36"/>
            </w:pPr>
            <w:r>
              <w:rPr>
                <w:rFonts w:ascii="Consolas" w:cs="Consolas" w:eastAsia="Consolas" w:hAnsi="Consolas"/>
                <w:b w:val="false"/>
                <w:bCs w:val="false"/>
                <w:i w:val="false"/>
                <w:iCs w:val="false"/>
                <w:color w:val="9CDCFE"/>
                <w:sz w:val="18"/>
                <w:szCs w:val="18"/>
              </w:rPr>
              <w:t xml:space="preserve">    ├── page4_territory_customers.png</w:t>
            </w:r>
          </w:p>
          <w:p>
            <w:pPr>
              <w:spacing w:before="0" w:after="0"/>
            </w:pPr>
            <w:r>
              <w:rPr>
                <w:rFonts w:ascii="Consolas" w:cs="Consolas" w:eastAsia="Consolas" w:hAnsi="Consolas"/>
                <w:b w:val="false"/>
                <w:bCs w:val="false"/>
                <w:i w:val="false"/>
                <w:iCs w:val="false"/>
                <w:color w:val="9CDCFE"/>
                <w:sz w:val="18"/>
                <w:szCs w:val="18"/>
              </w:rPr>
              <w:t xml:space="preserve">    └── city_detail_drillthrough.png</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README.md</w:t>
      </w:r>
    </w:p>
    <w:p>
      <w:pPr>
        <w:spacing w:before="40" w:after="100"/>
      </w:pPr>
      <w:r>
        <w:rPr>
          <w:rFonts w:ascii="Arial" w:cs="Arial" w:eastAsia="Arial" w:hAnsi="Arial"/>
          <w:b w:val="false"/>
          <w:bCs w:val="false"/>
          <w:i w:val="false"/>
          <w:iCs w:val="false"/>
          <w:color w:val="1A1A1A"/>
          <w:sz w:val="20"/>
          <w:szCs w:val="20"/>
        </w:rPr>
        <w:t xml:space="preserve">Confirmed README content for the repository:</w:t>
      </w:r>
    </w:p>
    <w:p>
      <w:pPr>
        <w:spacing w:before="0" w:after="8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333333" w:sz="12"/>
              <w:bottom w:val="single" w:color="333333" w:sz="1"/>
              <w:right w:val="none" w:color="FFFFFF" w:sz="0"/>
            </w:tcBorders>
            <w:shd w:fill="1E1E1E" w:val="clear"/>
            <w:tcMar>
              <w:top w:type="dxa" w:w="100"/>
              <w:left w:type="dxa" w:w="200"/>
              <w:bottom w:type="dxa" w:w="100"/>
              <w:right w:type="dxa" w:w="120"/>
            </w:tcMar>
          </w:tcPr>
          <w:p>
            <w:pPr>
              <w:spacing w:before="0" w:after="24"/>
            </w:pPr>
            <w:r>
              <w:rPr>
                <w:rFonts w:ascii="Consolas" w:cs="Consolas" w:eastAsia="Consolas" w:hAnsi="Consolas"/>
                <w:b w:val="false"/>
                <w:bCs w:val="false"/>
                <w:i w:val="false"/>
                <w:iCs w:val="false"/>
                <w:color w:val="9CDCFE"/>
                <w:sz w:val="17"/>
                <w:szCs w:val="17"/>
              </w:rPr>
              <w:t xml:space="preserve"># MechmanRetail BI Portfolio Project</w:t>
            </w:r>
          </w:p>
          <w:p>
            <w:pPr>
              <w:spacing w:before="0" w:after="24"/>
            </w:pPr>
            <w:r>
              <w:rPr>
                <w:rFonts w:ascii="Consolas" w:cs="Consolas" w:eastAsia="Consolas" w:hAnsi="Consolas"/>
                <w:b w:val="false"/>
                <w:bCs w:val="false"/>
                <w:i w:val="false"/>
                <w:iCs w:val="false"/>
                <w:color w:val="9CDCFE"/>
                <w:sz w:val="17"/>
                <w:szCs w:val="17"/>
              </w:rPr>
              <w:t xml:space="preserve"/>
            </w:r>
          </w:p>
          <w:p>
            <w:pPr>
              <w:spacing w:before="0" w:after="24"/>
            </w:pPr>
            <w:r>
              <w:rPr>
                <w:rFonts w:ascii="Consolas" w:cs="Consolas" w:eastAsia="Consolas" w:hAnsi="Consolas"/>
                <w:b w:val="false"/>
                <w:bCs w:val="false"/>
                <w:i w:val="false"/>
                <w:iCs w:val="false"/>
                <w:color w:val="9CDCFE"/>
                <w:sz w:val="17"/>
                <w:szCs w:val="17"/>
              </w:rPr>
              <w:t xml:space="preserve">A four-page retail sales Business Intelligence report built on the Wide World Importers dataset covering 228,265 transactions across May 2017 to October 2020 — $172M revenue, 49.8% average profit margin.</w:t>
            </w:r>
          </w:p>
          <w:p>
            <w:pPr>
              <w:spacing w:before="0" w:after="24"/>
            </w:pPr>
            <w:r>
              <w:rPr>
                <w:rFonts w:ascii="Consolas" w:cs="Consolas" w:eastAsia="Consolas" w:hAnsi="Consolas"/>
                <w:b w:val="false"/>
                <w:bCs w:val="false"/>
                <w:i w:val="false"/>
                <w:iCs w:val="false"/>
                <w:color w:val="9CDCFE"/>
                <w:sz w:val="17"/>
                <w:szCs w:val="17"/>
              </w:rPr>
              <w:t xml:space="preserve"/>
            </w:r>
          </w:p>
          <w:p>
            <w:pPr>
              <w:spacing w:before="0" w:after="24"/>
            </w:pPr>
            <w:r>
              <w:rPr>
                <w:rFonts w:ascii="Consolas" w:cs="Consolas" w:eastAsia="Consolas" w:hAnsi="Consolas"/>
                <w:b w:val="false"/>
                <w:bCs w:val="false"/>
                <w:i w:val="false"/>
                <w:iCs w:val="false"/>
                <w:color w:val="9CDCFE"/>
                <w:sz w:val="17"/>
                <w:szCs w:val="17"/>
              </w:rPr>
              <w:t xml:space="preserve">## Live Report</w:t>
            </w:r>
          </w:p>
          <w:p>
            <w:pPr>
              <w:spacing w:before="0" w:after="24"/>
            </w:pPr>
            <w:r>
              <w:rPr>
                <w:rFonts w:ascii="Consolas" w:cs="Consolas" w:eastAsia="Consolas" w:hAnsi="Consolas"/>
                <w:b w:val="false"/>
                <w:bCs w:val="false"/>
                <w:i w:val="false"/>
                <w:iCs w:val="false"/>
                <w:color w:val="9CDCFE"/>
                <w:sz w:val="17"/>
                <w:szCs w:val="17"/>
              </w:rPr>
              <w:t xml:space="preserve">[View the interactive report on Novypro]([Novypro link here])</w:t>
            </w:r>
          </w:p>
          <w:p>
            <w:pPr>
              <w:spacing w:before="0" w:after="24"/>
            </w:pPr>
            <w:r>
              <w:rPr>
                <w:rFonts w:ascii="Consolas" w:cs="Consolas" w:eastAsia="Consolas" w:hAnsi="Consolas"/>
                <w:b w:val="false"/>
                <w:bCs w:val="false"/>
                <w:i w:val="false"/>
                <w:iCs w:val="false"/>
                <w:color w:val="9CDCFE"/>
                <w:sz w:val="17"/>
                <w:szCs w:val="17"/>
              </w:rPr>
              <w:t xml:space="preserve"/>
            </w:r>
          </w:p>
          <w:p>
            <w:pPr>
              <w:spacing w:before="0" w:after="24"/>
            </w:pPr>
            <w:r>
              <w:rPr>
                <w:rFonts w:ascii="Consolas" w:cs="Consolas" w:eastAsia="Consolas" w:hAnsi="Consolas"/>
                <w:b w:val="false"/>
                <w:bCs w:val="false"/>
                <w:i w:val="false"/>
                <w:iCs w:val="false"/>
                <w:color w:val="9CDCFE"/>
                <w:sz w:val="17"/>
                <w:szCs w:val="17"/>
              </w:rPr>
              <w:t xml:space="preserve">## Project Architecture</w:t>
            </w:r>
          </w:p>
          <w:p>
            <w:pPr>
              <w:spacing w:before="0" w:after="24"/>
            </w:pPr>
            <w:r>
              <w:rPr>
                <w:rFonts w:ascii="Consolas" w:cs="Consolas" w:eastAsia="Consolas" w:hAnsi="Consolas"/>
                <w:b w:val="false"/>
                <w:bCs w:val="false"/>
                <w:i w:val="false"/>
                <w:iCs w:val="false"/>
                <w:color w:val="9CDCFE"/>
                <w:sz w:val="17"/>
                <w:szCs w:val="17"/>
              </w:rPr>
              <w:t xml:space="preserve"/>
            </w:r>
          </w:p>
          <w:p>
            <w:pPr>
              <w:spacing w:before="0" w:after="24"/>
            </w:pPr>
            <w:r>
              <w:rPr>
                <w:rFonts w:ascii="Consolas" w:cs="Consolas" w:eastAsia="Consolas" w:hAnsi="Consolas"/>
                <w:b w:val="false"/>
                <w:bCs w:val="false"/>
                <w:i w:val="false"/>
                <w:iCs w:val="false"/>
                <w:color w:val="9CDCFE"/>
                <w:sz w:val="17"/>
                <w:szCs w:val="17"/>
              </w:rPr>
              <w:t xml:space="preserve">| Phase | Tool | Scope |</w:t>
            </w:r>
          </w:p>
          <w:p>
            <w:pPr>
              <w:spacing w:before="0" w:after="24"/>
            </w:pPr>
            <w:r>
              <w:rPr>
                <w:rFonts w:ascii="Consolas" w:cs="Consolas" w:eastAsia="Consolas" w:hAnsi="Consolas"/>
                <w:b w:val="false"/>
                <w:bCs w:val="false"/>
                <w:i w:val="false"/>
                <w:iCs w:val="false"/>
                <w:color w:val="9CDCFE"/>
                <w:sz w:val="17"/>
                <w:szCs w:val="17"/>
              </w:rPr>
              <w:t xml:space="preserve">|-------|------|-------|</w:t>
            </w:r>
          </w:p>
          <w:p>
            <w:pPr>
              <w:spacing w:before="0" w:after="24"/>
            </w:pPr>
            <w:r>
              <w:rPr>
                <w:rFonts w:ascii="Consolas" w:cs="Consolas" w:eastAsia="Consolas" w:hAnsi="Consolas"/>
                <w:b w:val="false"/>
                <w:bCs w:val="false"/>
                <w:i w:val="false"/>
                <w:iCs w:val="false"/>
                <w:color w:val="9CDCFE"/>
                <w:sz w:val="17"/>
                <w:szCs w:val="17"/>
              </w:rPr>
              <w:t xml:space="preserve">| Phase 1 | SQL Server | Three-tier SOURCE/DEV/PROD incremental pipeline, views, stored procedures, RLS |</w:t>
            </w:r>
          </w:p>
          <w:p>
            <w:pPr>
              <w:spacing w:before="0" w:after="24"/>
            </w:pPr>
            <w:r>
              <w:rPr>
                <w:rFonts w:ascii="Consolas" w:cs="Consolas" w:eastAsia="Consolas" w:hAnsi="Consolas"/>
                <w:b w:val="false"/>
                <w:bCs w:val="false"/>
                <w:i w:val="false"/>
                <w:iCs w:val="false"/>
                <w:color w:val="9CDCFE"/>
                <w:sz w:val="17"/>
                <w:szCs w:val="17"/>
              </w:rPr>
              <w:t xml:space="preserve">| Phase 2 | Power Query | Star schema transformation, data cleaning, 9 queries |</w:t>
            </w:r>
          </w:p>
          <w:p>
            <w:pPr>
              <w:spacing w:before="0" w:after="24"/>
            </w:pPr>
            <w:r>
              <w:rPr>
                <w:rFonts w:ascii="Consolas" w:cs="Consolas" w:eastAsia="Consolas" w:hAnsi="Consolas"/>
                <w:b w:val="false"/>
                <w:bCs w:val="false"/>
                <w:i w:val="false"/>
                <w:iCs w:val="false"/>
                <w:color w:val="9CDCFE"/>
                <w:sz w:val="17"/>
                <w:szCs w:val="17"/>
              </w:rPr>
              <w:t xml:space="preserve">| Phase 3 | Power BI Desktop | 25 DAX measures, field parameter, four-page report |</w:t>
            </w:r>
          </w:p>
          <w:p>
            <w:pPr>
              <w:spacing w:before="0" w:after="24"/>
            </w:pPr>
            <w:r>
              <w:rPr>
                <w:rFonts w:ascii="Consolas" w:cs="Consolas" w:eastAsia="Consolas" w:hAnsi="Consolas"/>
                <w:b w:val="false"/>
                <w:bCs w:val="false"/>
                <w:i w:val="false"/>
                <w:iCs w:val="false"/>
                <w:color w:val="9CDCFE"/>
                <w:sz w:val="17"/>
                <w:szCs w:val="17"/>
              </w:rPr>
              <w:t xml:space="preserve">| Phase 4 | Power BI Service + Novypro | Publishing, RLS, portfolio deployment |</w:t>
            </w:r>
          </w:p>
          <w:p>
            <w:pPr>
              <w:spacing w:before="0" w:after="24"/>
            </w:pPr>
            <w:r>
              <w:rPr>
                <w:rFonts w:ascii="Consolas" w:cs="Consolas" w:eastAsia="Consolas" w:hAnsi="Consolas"/>
                <w:b w:val="false"/>
                <w:bCs w:val="false"/>
                <w:i w:val="false"/>
                <w:iCs w:val="false"/>
                <w:color w:val="9CDCFE"/>
                <w:sz w:val="17"/>
                <w:szCs w:val="17"/>
              </w:rPr>
              <w:t xml:space="preserve"/>
            </w:r>
          </w:p>
          <w:p>
            <w:pPr>
              <w:spacing w:before="0" w:after="24"/>
            </w:pPr>
            <w:r>
              <w:rPr>
                <w:rFonts w:ascii="Consolas" w:cs="Consolas" w:eastAsia="Consolas" w:hAnsi="Consolas"/>
                <w:b w:val="false"/>
                <w:bCs w:val="false"/>
                <w:i w:val="false"/>
                <w:iCs w:val="false"/>
                <w:color w:val="9CDCFE"/>
                <w:sz w:val="17"/>
                <w:szCs w:val="17"/>
              </w:rPr>
              <w:t xml:space="preserve">## Key Technical Features</w:t>
            </w:r>
          </w:p>
          <w:p>
            <w:pPr>
              <w:spacing w:before="0" w:after="24"/>
            </w:pPr>
            <w:r>
              <w:rPr>
                <w:rFonts w:ascii="Consolas" w:cs="Consolas" w:eastAsia="Consolas" w:hAnsi="Consolas"/>
                <w:b w:val="false"/>
                <w:bCs w:val="false"/>
                <w:i w:val="false"/>
                <w:iCs w:val="false"/>
                <w:color w:val="9CDCFE"/>
                <w:sz w:val="17"/>
                <w:szCs w:val="17"/>
              </w:rPr>
              <w:t xml:space="preserve">- Three-tier incremental pipeline: sp_LoadLatestMonthToDEV → sp_PromoteDEVtoPROD</w:t>
            </w:r>
          </w:p>
          <w:p>
            <w:pPr>
              <w:spacing w:before="0" w:after="24"/>
            </w:pPr>
            <w:r>
              <w:rPr>
                <w:rFonts w:ascii="Consolas" w:cs="Consolas" w:eastAsia="Consolas" w:hAnsi="Consolas"/>
                <w:b w:val="false"/>
                <w:bCs w:val="false"/>
                <w:i w:val="false"/>
                <w:iCs w:val="false"/>
                <w:color w:val="9CDCFE"/>
                <w:sz w:val="17"/>
                <w:szCs w:val="17"/>
              </w:rPr>
              <w:t xml:space="preserve">- View-level column standardisation — dbo.Sale unchanged</w:t>
            </w:r>
          </w:p>
          <w:p>
            <w:pPr>
              <w:spacing w:before="0" w:after="24"/>
            </w:pPr>
            <w:r>
              <w:rPr>
                <w:rFonts w:ascii="Consolas" w:cs="Consolas" w:eastAsia="Consolas" w:hAnsi="Consolas"/>
                <w:b w:val="false"/>
                <w:bCs w:val="false"/>
                <w:i w:val="false"/>
                <w:iCs w:val="false"/>
                <w:color w:val="9CDCFE"/>
                <w:sz w:val="17"/>
                <w:szCs w:val="17"/>
              </w:rPr>
              <w:t xml:space="preserve">- 25 standalone DAX measures — time intelligence per Revenue and Profit</w:t>
            </w:r>
          </w:p>
          <w:p>
            <w:pPr>
              <w:spacing w:before="0" w:after="24"/>
            </w:pPr>
            <w:r>
              <w:rPr>
                <w:rFonts w:ascii="Consolas" w:cs="Consolas" w:eastAsia="Consolas" w:hAnsi="Consolas"/>
                <w:b w:val="false"/>
                <w:bCs w:val="false"/>
                <w:i w:val="false"/>
                <w:iCs w:val="false"/>
                <w:color w:val="9CDCFE"/>
                <w:sz w:val="17"/>
                <w:szCs w:val="17"/>
              </w:rPr>
              <w:t xml:space="preserve">- Field parameter metric switcher: Revenue / Profit</w:t>
            </w:r>
          </w:p>
          <w:p>
            <w:pPr>
              <w:spacing w:before="0" w:after="24"/>
            </w:pPr>
            <w:r>
              <w:rPr>
                <w:rFonts w:ascii="Consolas" w:cs="Consolas" w:eastAsia="Consolas" w:hAnsi="Consolas"/>
                <w:b w:val="false"/>
                <w:bCs w:val="false"/>
                <w:i w:val="false"/>
                <w:iCs w:val="false"/>
                <w:color w:val="9CDCFE"/>
                <w:sz w:val="17"/>
                <w:szCs w:val="17"/>
              </w:rPr>
              <w:t xml:space="preserve">- Hierarchy-aware RLS: USERPRINCIPALNAME() + PATH() / PATHCONTAINS()</w:t>
            </w:r>
          </w:p>
          <w:p>
            <w:pPr>
              <w:spacing w:before="0" w:after="24"/>
            </w:pPr>
            <w:r>
              <w:rPr>
                <w:rFonts w:ascii="Consolas" w:cs="Consolas" w:eastAsia="Consolas" w:hAnsi="Consolas"/>
                <w:b w:val="false"/>
                <w:bCs w:val="false"/>
                <w:i w:val="false"/>
                <w:iCs w:val="false"/>
                <w:color w:val="9CDCFE"/>
                <w:sz w:val="17"/>
                <w:szCs w:val="17"/>
              </w:rPr>
              <w:t xml:space="preserve">- Drill through: Territory → City Detail page</w:t>
            </w:r>
          </w:p>
          <w:p>
            <w:pPr>
              <w:spacing w:before="0" w:after="24"/>
            </w:pPr>
            <w:r>
              <w:rPr>
                <w:rFonts w:ascii="Consolas" w:cs="Consolas" w:eastAsia="Consolas" w:hAnsi="Consolas"/>
                <w:b w:val="false"/>
                <w:bCs w:val="false"/>
                <w:i w:val="false"/>
                <w:iCs w:val="false"/>
                <w:color w:val="9CDCFE"/>
                <w:sz w:val="17"/>
                <w:szCs w:val="17"/>
              </w:rPr>
              <w:t xml:space="preserve">- Forecast visual: MonthStart date grain for continuous time axis</w:t>
            </w:r>
          </w:p>
          <w:p>
            <w:pPr>
              <w:spacing w:before="0" w:after="24"/>
            </w:pPr>
            <w:r>
              <w:rPr>
                <w:rFonts w:ascii="Consolas" w:cs="Consolas" w:eastAsia="Consolas" w:hAnsi="Consolas"/>
                <w:b w:val="false"/>
                <w:bCs w:val="false"/>
                <w:i w:val="false"/>
                <w:iCs w:val="false"/>
                <w:color w:val="9CDCFE"/>
                <w:sz w:val="17"/>
                <w:szCs w:val="17"/>
              </w:rPr>
              <w:t xml:space="preserve">- Incremental refresh pattern using RangeStart / RangeEnd parameters</w:t>
            </w:r>
          </w:p>
          <w:p>
            <w:pPr>
              <w:spacing w:before="0" w:after="24"/>
            </w:pPr>
            <w:r>
              <w:rPr>
                <w:rFonts w:ascii="Consolas" w:cs="Consolas" w:eastAsia="Consolas" w:hAnsi="Consolas"/>
                <w:b w:val="false"/>
                <w:bCs w:val="false"/>
                <w:i w:val="false"/>
                <w:iCs w:val="false"/>
                <w:color w:val="9CDCFE"/>
                <w:sz w:val="17"/>
                <w:szCs w:val="17"/>
              </w:rPr>
              <w:t xml:space="preserve"/>
            </w:r>
          </w:p>
          <w:p>
            <w:pPr>
              <w:spacing w:before="0" w:after="24"/>
            </w:pPr>
            <w:r>
              <w:rPr>
                <w:rFonts w:ascii="Consolas" w:cs="Consolas" w:eastAsia="Consolas" w:hAnsi="Consolas"/>
                <w:b w:val="false"/>
                <w:bCs w:val="false"/>
                <w:i w:val="false"/>
                <w:iCs w:val="false"/>
                <w:color w:val="9CDCFE"/>
                <w:sz w:val="17"/>
                <w:szCs w:val="17"/>
              </w:rPr>
              <w:t xml:space="preserve">## SQL Scripts</w:t>
            </w:r>
          </w:p>
          <w:p>
            <w:pPr>
              <w:spacing w:before="0" w:after="24"/>
            </w:pPr>
            <w:r>
              <w:rPr>
                <w:rFonts w:ascii="Consolas" w:cs="Consolas" w:eastAsia="Consolas" w:hAnsi="Consolas"/>
                <w:b w:val="false"/>
                <w:bCs w:val="false"/>
                <w:i w:val="false"/>
                <w:iCs w:val="false"/>
                <w:color w:val="9CDCFE"/>
                <w:sz w:val="17"/>
                <w:szCs w:val="17"/>
              </w:rPr>
              <w:t xml:space="preserve">Phase 1 scripts in /sql — covers primary key, indexes, views, three stored procedures, and RLS.</w:t>
            </w:r>
          </w:p>
          <w:p>
            <w:pPr>
              <w:spacing w:before="0" w:after="24"/>
            </w:pPr>
            <w:r>
              <w:rPr>
                <w:rFonts w:ascii="Consolas" w:cs="Consolas" w:eastAsia="Consolas" w:hAnsi="Consolas"/>
                <w:b w:val="false"/>
                <w:bCs w:val="false"/>
                <w:i w:val="false"/>
                <w:iCs w:val="false"/>
                <w:color w:val="9CDCFE"/>
                <w:sz w:val="17"/>
                <w:szCs w:val="17"/>
              </w:rPr>
              <w:t xml:space="preserve"/>
            </w:r>
          </w:p>
          <w:p>
            <w:pPr>
              <w:spacing w:before="0" w:after="24"/>
            </w:pPr>
            <w:r>
              <w:rPr>
                <w:rFonts w:ascii="Consolas" w:cs="Consolas" w:eastAsia="Consolas" w:hAnsi="Consolas"/>
                <w:b w:val="false"/>
                <w:bCs w:val="false"/>
                <w:i w:val="false"/>
                <w:iCs w:val="false"/>
                <w:color w:val="9CDCFE"/>
                <w:sz w:val="17"/>
                <w:szCs w:val="17"/>
              </w:rPr>
              <w:t xml:space="preserve">## Tools</w:t>
            </w:r>
          </w:p>
          <w:p>
            <w:pPr>
              <w:spacing w:before="0" w:after="0"/>
            </w:pPr>
            <w:r>
              <w:rPr>
                <w:rFonts w:ascii="Consolas" w:cs="Consolas" w:eastAsia="Consolas" w:hAnsi="Consolas"/>
                <w:b w:val="false"/>
                <w:bCs w:val="false"/>
                <w:i w:val="false"/>
                <w:iCs w:val="false"/>
                <w:color w:val="9CDCFE"/>
                <w:sz w:val="17"/>
                <w:szCs w:val="17"/>
              </w:rPr>
              <w:t xml:space="preserve">SQL Server 2019 · Power BI Desktop · Power Query · DAX · Power BI Service · Novypro · GitHub</w:t>
            </w:r>
          </w:p>
        </w:tc>
      </w:tr>
    </w:tbl>
    <w:p>
      <w:pPr>
        <w:spacing w:before="0" w:after="80"/>
      </w:pPr>
      <w:r>
        <w:rPr>
          <w:rFonts w:ascii="Arial" w:cs="Arial" w:eastAsia="Arial" w:hAnsi="Arial"/>
          <w:b w:val="false"/>
          <w:bCs w:val="false"/>
          <w:i w:val="false"/>
          <w:iCs w:val="false"/>
          <w:color w:val="1A1A1A"/>
          <w:sz w:val="20"/>
          <w:szCs w:val="20"/>
        </w:rPr>
        <w:t xml:space="preserve"/>
      </w:r>
    </w:p>
    <w:p>
      <w:pPr>
        <w:pStyle w:val="Heading3"/>
        <w:spacing w:before="240" w:after="80"/>
      </w:pPr>
      <w:r>
        <w:rPr>
          <w:rFonts w:ascii="Arial" w:cs="Arial" w:eastAsia="Arial" w:hAnsi="Arial"/>
          <w:b/>
          <w:bCs/>
          <w:i w:val="false"/>
          <w:iCs w:val="false"/>
          <w:color w:val="2E75B6"/>
          <w:sz w:val="22"/>
          <w:szCs w:val="22"/>
        </w:rPr>
        <w:t xml:space="preserve">.gitignore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thick" w:color="333333" w:sz="12"/>
              <w:bottom w:val="single" w:color="333333" w:sz="1"/>
              <w:right w:val="none" w:color="FFFFFF" w:sz="0"/>
            </w:tcBorders>
            <w:shd w:fill="1E1E1E" w:val="clear"/>
            <w:tcMar>
              <w:top w:type="dxa" w:w="100"/>
              <w:left w:type="dxa" w:w="200"/>
              <w:bottom w:type="dxa" w:w="100"/>
              <w:right w:type="dxa" w:w="120"/>
            </w:tcMar>
          </w:tcPr>
          <w:p>
            <w:pPr>
              <w:spacing w:before="0" w:after="36"/>
            </w:pPr>
            <w:r>
              <w:rPr>
                <w:rFonts w:ascii="Consolas" w:cs="Consolas" w:eastAsia="Consolas" w:hAnsi="Consolas"/>
                <w:b w:val="false"/>
                <w:bCs w:val="false"/>
                <w:i w:val="false"/>
                <w:iCs w:val="false"/>
                <w:color w:val="9CDCFE"/>
                <w:sz w:val="18"/>
                <w:szCs w:val="18"/>
              </w:rPr>
              <w:t xml:space="preserve"># Power BI files — may contain embedded data</w:t>
            </w:r>
          </w:p>
          <w:p>
            <w:pPr>
              <w:spacing w:before="0" w:after="36"/>
            </w:pPr>
            <w:r>
              <w:rPr>
                <w:rFonts w:ascii="Consolas" w:cs="Consolas" w:eastAsia="Consolas" w:hAnsi="Consolas"/>
                <w:b w:val="false"/>
                <w:bCs w:val="false"/>
                <w:i w:val="false"/>
                <w:iCs w:val="false"/>
                <w:color w:val="9CDCFE"/>
                <w:sz w:val="18"/>
                <w:szCs w:val="18"/>
              </w:rPr>
              <w:t xml:space="preserve">*.pbix</w:t>
            </w:r>
          </w:p>
          <w:p>
            <w:pPr>
              <w:spacing w:before="0" w:after="36"/>
            </w:pPr>
            <w:r>
              <w:rPr>
                <w:rFonts w:ascii="Consolas" w:cs="Consolas" w:eastAsia="Consolas" w:hAnsi="Consolas"/>
                <w:b w:val="false"/>
                <w:bCs w:val="false"/>
                <w:i w:val="false"/>
                <w:iCs w:val="false"/>
                <w:color w:val="9CDCFE"/>
                <w:sz w:val="18"/>
                <w:szCs w:val="18"/>
              </w:rPr>
              <w:t xml:space="preserve"/>
            </w:r>
          </w:p>
          <w:p>
            <w:pPr>
              <w:spacing w:before="0" w:after="36"/>
            </w:pPr>
            <w:r>
              <w:rPr>
                <w:rFonts w:ascii="Consolas" w:cs="Consolas" w:eastAsia="Consolas" w:hAnsi="Consolas"/>
                <w:b w:val="false"/>
                <w:bCs w:val="false"/>
                <w:i w:val="false"/>
                <w:iCs w:val="false"/>
                <w:color w:val="9CDCFE"/>
                <w:sz w:val="18"/>
                <w:szCs w:val="18"/>
              </w:rPr>
              <w:t xml:space="preserve"># SQL Server backup files</w:t>
            </w:r>
          </w:p>
          <w:p>
            <w:pPr>
              <w:spacing w:before="0" w:after="36"/>
            </w:pPr>
            <w:r>
              <w:rPr>
                <w:rFonts w:ascii="Consolas" w:cs="Consolas" w:eastAsia="Consolas" w:hAnsi="Consolas"/>
                <w:b w:val="false"/>
                <w:bCs w:val="false"/>
                <w:i w:val="false"/>
                <w:iCs w:val="false"/>
                <w:color w:val="9CDCFE"/>
                <w:sz w:val="18"/>
                <w:szCs w:val="18"/>
              </w:rPr>
              <w:t xml:space="preserve">*.bak</w:t>
            </w:r>
          </w:p>
          <w:p>
            <w:pPr>
              <w:spacing w:before="0" w:after="36"/>
            </w:pPr>
            <w:r>
              <w:rPr>
                <w:rFonts w:ascii="Consolas" w:cs="Consolas" w:eastAsia="Consolas" w:hAnsi="Consolas"/>
                <w:b w:val="false"/>
                <w:bCs w:val="false"/>
                <w:i w:val="false"/>
                <w:iCs w:val="false"/>
                <w:color w:val="9CDCFE"/>
                <w:sz w:val="18"/>
                <w:szCs w:val="18"/>
              </w:rPr>
              <w:t xml:space="preserve">*.mdf</w:t>
            </w:r>
          </w:p>
          <w:p>
            <w:pPr>
              <w:spacing w:before="0" w:after="36"/>
            </w:pPr>
            <w:r>
              <w:rPr>
                <w:rFonts w:ascii="Consolas" w:cs="Consolas" w:eastAsia="Consolas" w:hAnsi="Consolas"/>
                <w:b w:val="false"/>
                <w:bCs w:val="false"/>
                <w:i w:val="false"/>
                <w:iCs w:val="false"/>
                <w:color w:val="9CDCFE"/>
                <w:sz w:val="18"/>
                <w:szCs w:val="18"/>
              </w:rPr>
              <w:t xml:space="preserve">*.ldf</w:t>
            </w:r>
          </w:p>
          <w:p>
            <w:pPr>
              <w:spacing w:before="0" w:after="36"/>
            </w:pPr>
            <w:r>
              <w:rPr>
                <w:rFonts w:ascii="Consolas" w:cs="Consolas" w:eastAsia="Consolas" w:hAnsi="Consolas"/>
                <w:b w:val="false"/>
                <w:bCs w:val="false"/>
                <w:i w:val="false"/>
                <w:iCs w:val="false"/>
                <w:color w:val="9CDCFE"/>
                <w:sz w:val="18"/>
                <w:szCs w:val="18"/>
              </w:rPr>
              <w:t xml:space="preserve"/>
            </w:r>
          </w:p>
          <w:p>
            <w:pPr>
              <w:spacing w:before="0" w:after="36"/>
            </w:pPr>
            <w:r>
              <w:rPr>
                <w:rFonts w:ascii="Consolas" w:cs="Consolas" w:eastAsia="Consolas" w:hAnsi="Consolas"/>
                <w:b w:val="false"/>
                <w:bCs w:val="false"/>
                <w:i w:val="false"/>
                <w:iCs w:val="false"/>
                <w:color w:val="9CDCFE"/>
                <w:sz w:val="18"/>
                <w:szCs w:val="18"/>
              </w:rPr>
              <w:t xml:space="preserve"># OS generated files</w:t>
            </w:r>
          </w:p>
          <w:p>
            <w:pPr>
              <w:spacing w:before="0" w:after="36"/>
            </w:pPr>
            <w:r>
              <w:rPr>
                <w:rFonts w:ascii="Consolas" w:cs="Consolas" w:eastAsia="Consolas" w:hAnsi="Consolas"/>
                <w:b w:val="false"/>
                <w:bCs w:val="false"/>
                <w:i w:val="false"/>
                <w:iCs w:val="false"/>
                <w:color w:val="9CDCFE"/>
                <w:sz w:val="18"/>
                <w:szCs w:val="18"/>
              </w:rPr>
              <w:t xml:space="preserve">.DS_Store</w:t>
            </w:r>
          </w:p>
          <w:p>
            <w:pPr>
              <w:spacing w:before="0" w:after="36"/>
            </w:pPr>
            <w:r>
              <w:rPr>
                <w:rFonts w:ascii="Consolas" w:cs="Consolas" w:eastAsia="Consolas" w:hAnsi="Consolas"/>
                <w:b w:val="false"/>
                <w:bCs w:val="false"/>
                <w:i w:val="false"/>
                <w:iCs w:val="false"/>
                <w:color w:val="9CDCFE"/>
                <w:sz w:val="18"/>
                <w:szCs w:val="18"/>
              </w:rPr>
              <w:t xml:space="preserve">Thumbs.db</w:t>
            </w:r>
          </w:p>
          <w:p>
            <w:pPr>
              <w:spacing w:before="0" w:after="36"/>
            </w:pPr>
            <w:r>
              <w:rPr>
                <w:rFonts w:ascii="Consolas" w:cs="Consolas" w:eastAsia="Consolas" w:hAnsi="Consolas"/>
                <w:b w:val="false"/>
                <w:bCs w:val="false"/>
                <w:i w:val="false"/>
                <w:iCs w:val="false"/>
                <w:color w:val="9CDCFE"/>
                <w:sz w:val="18"/>
                <w:szCs w:val="18"/>
              </w:rPr>
              <w:t xml:space="preserve"/>
            </w:r>
          </w:p>
          <w:p>
            <w:pPr>
              <w:spacing w:before="0" w:after="36"/>
            </w:pPr>
            <w:r>
              <w:rPr>
                <w:rFonts w:ascii="Consolas" w:cs="Consolas" w:eastAsia="Consolas" w:hAnsi="Consolas"/>
                <w:b w:val="false"/>
                <w:bCs w:val="false"/>
                <w:i w:val="false"/>
                <w:iCs w:val="false"/>
                <w:color w:val="9CDCFE"/>
                <w:sz w:val="18"/>
                <w:szCs w:val="18"/>
              </w:rPr>
              <w:t xml:space="preserve"># Temporary files</w:t>
            </w:r>
          </w:p>
          <w:p>
            <w:pPr>
              <w:spacing w:before="0" w:after="36"/>
            </w:pPr>
            <w:r>
              <w:rPr>
                <w:rFonts w:ascii="Consolas" w:cs="Consolas" w:eastAsia="Consolas" w:hAnsi="Consolas"/>
                <w:b w:val="false"/>
                <w:bCs w:val="false"/>
                <w:i w:val="false"/>
                <w:iCs w:val="false"/>
                <w:color w:val="9CDCFE"/>
                <w:sz w:val="18"/>
                <w:szCs w:val="18"/>
              </w:rPr>
              <w:t xml:space="preserve">*.tmp</w:t>
            </w:r>
          </w:p>
          <w:p>
            <w:pPr>
              <w:spacing w:before="0" w:after="0"/>
            </w:pPr>
            <w:r>
              <w:rPr>
                <w:rFonts w:ascii="Consolas" w:cs="Consolas" w:eastAsia="Consolas" w:hAnsi="Consolas"/>
                <w:b w:val="false"/>
                <w:bCs w:val="false"/>
                <w:i w:val="false"/>
                <w:iCs w:val="false"/>
                <w:color w:val="9CDCFE"/>
                <w:sz w:val="18"/>
                <w:szCs w:val="18"/>
              </w:rPr>
              <w:t xml:space="preserv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2"/>
      </w:pBdr>
      <w:spacing w:before="80"/>
      <w:jc w:val="center"/>
    </w:pPr>
    <w:r>
      <w:rPr>
        <w:rFonts w:ascii="Arial" w:cs="Arial" w:eastAsia="Arial" w:hAnsi="Arial"/>
        <w:b w:val="false"/>
        <w:bCs w:val="false"/>
        <w:i w:val="false"/>
        <w:iCs w:val="false"/>
        <w:color w:val="888888"/>
        <w:sz w:val="17"/>
        <w:szCs w:val="17"/>
      </w:rPr>
      <w:t xml:space="preserve">Phase 4 Narrative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before="0" w:after="80"/>
    </w:pPr>
    <w:r>
      <w:rPr>
        <w:rFonts w:ascii="Arial" w:cs="Arial" w:eastAsia="Arial" w:hAnsi="Arial"/>
        <w:b/>
        <w:bCs/>
        <w:i w:val="false"/>
        <w:iCs w:val="false"/>
        <w:color w:val="1F3864"/>
        <w:sz w:val="17"/>
        <w:szCs w:val="17"/>
      </w:rPr>
      <w:t xml:space="preserve">MechmanRetail — Phase 4: Publishing &amp; Deployment Documentation</w:t>
    </w:r>
    <w:r>
      <w:rPr>
        <w:sz w:val="17"/>
        <w:szCs w:val="17"/>
      </w:rPr>
      <w:t xml:space="preserve">	</w:t>
    </w:r>
    <w:r>
      <w:rPr>
        <w:rFonts w:ascii="Arial" w:cs="Arial" w:eastAsia="Arial" w:hAnsi="Arial"/>
        <w:b w:val="false"/>
        <w:bCs w:val="false"/>
        <w:i w:val="false"/>
        <w:iCs w:val="false"/>
        <w:color w:val="666666"/>
        <w:sz w:val="17"/>
        <w:szCs w:val="17"/>
      </w:rPr>
      <w:t xml:space="preserve">Adiga Triumphant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2026-03-27T14:45:40.513Z</dcterms:created>
  <dcterms:modified xsi:type="dcterms:W3CDTF">2026-03-27T14:45:40.513Z</dcterms:modified>
</cp:coreProperties>
</file>

<file path=docProps/custom.xml><?xml version="1.0" encoding="utf-8"?>
<Properties xmlns="http://schemas.openxmlformats.org/officeDocument/2006/custom-properties" xmlns:vt="http://schemas.openxmlformats.org/officeDocument/2006/docPropsVTypes"/>
</file>